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6"/>
        </w:rPr>
        <w:t>DERRY WEBB, M.A., RPA</w:t>
      </w:r>
    </w:p>
    <w:p>
      <w:pPr>
        <w:jc w:val="center"/>
      </w:pPr>
      <w:r>
        <w:rPr>
          <w:i/>
          <w:sz w:val="20"/>
        </w:rPr>
        <w:t>Anthropology Educator | Registered Professional Archaeologist | Asynchronous Learning, Archaeology &amp; Public Heritage</w:t>
      </w:r>
    </w:p>
    <w:p>
      <w:pPr>
        <w:jc w:val="center"/>
      </w:pPr>
      <w:r>
        <w:t>Houston, Texas | derrywebb@gmail.com | linkedin.com/in/derry-w-8a8b0254</w:t>
      </w:r>
    </w:p>
    <w:p>
      <w:pPr>
        <w:pStyle w:val="Heading1"/>
        <w:pBdr>
          <w:bottom w:val="single" w:sz="6" w:space="1" w:color="7F7F7F"/>
        </w:pBdr>
      </w:pPr>
      <w:r>
        <w:t>Professional Profile</w:t>
      </w:r>
    </w:p>
    <w:p>
      <w:r>
        <w:t>Anthropology educator and Registered Professional Archaeologist with more than a decade of experience teaching anthropology and archaeology in Texas community college systems. Experienced in online, hybrid, and face-to-face instruction, with regular teaching in Physical Anthropology, Introduction to Archaeology, and Cultural Anthropology. Skilled in Canvas and D2L Brightspace course development, asynchronous instruction, assessment, rubrics, discussion design, Student Learning Outcomes, and learner-centered teaching. Active field archaeologist with leadership experience in excavation, artifact analysis, documentation, volunteer coordination, public archaeology, and heritage education. Prior professional background in information systems, reporting, databases, and process documentation supports work at the intersection of anthropology education, archaeology, public heritage, and research documentation.</w:t>
      </w:r>
    </w:p>
    <w:p>
      <w:pPr>
        <w:pStyle w:val="Heading1"/>
        <w:pBdr>
          <w:bottom w:val="single" w:sz="6" w:space="1" w:color="7F7F7F"/>
        </w:pBdr>
      </w:pPr>
      <w:r>
        <w:t>Areas of Focus</w:t>
      </w:r>
    </w:p>
    <w:tbl>
      <w:tblPr>
        <w:tblStyle w:val="TableGrid"/>
        <w:tblW w:type="auto" w:w="0"/>
        <w:jc w:val="center"/>
        <w:tblLayout w:type="autofit"/>
        <w:tblLook w:firstColumn="1" w:firstRow="1" w:lastColumn="0" w:lastRow="0" w:noHBand="0" w:noVBand="1" w:val="04A0"/>
      </w:tblPr>
      <w:tblGrid>
        <w:gridCol w:w="5184"/>
        <w:gridCol w:w="5184"/>
      </w:tblGrid>
      <w:tr>
        <w:trPr>
          <w:tblHeader w:val="true"/>
          <w:cantSplit w:val="true"/>
        </w:trPr>
        <w:tc>
          <w:tcPr>
            <w:tcW w:type="dxa" w:w="2232"/>
            <w:shd w:fill="D9EAF7"/>
          </w:tcPr>
          <w:p>
            <w:pPr>
              <w:spacing w:after="0" w:line="240" w:lineRule="auto"/>
            </w:pPr>
            <w:r>
              <w:rPr>
                <w:sz w:val="16"/>
              </w:rPr>
            </w:r>
            <w:r>
              <w:rPr>
                <w:b/>
                <w:sz w:val="16"/>
              </w:rPr>
              <w:t>Area</w:t>
            </w:r>
          </w:p>
        </w:tc>
        <w:tc>
          <w:tcPr>
            <w:tcW w:type="dxa" w:w="8496"/>
            <w:shd w:fill="D9EAF7"/>
          </w:tcPr>
          <w:p>
            <w:pPr>
              <w:spacing w:after="0" w:line="240" w:lineRule="auto"/>
            </w:pPr>
            <w:r>
              <w:rPr>
                <w:sz w:val="16"/>
              </w:rPr>
            </w:r>
            <w:r>
              <w:rPr>
                <w:b/>
                <w:sz w:val="16"/>
              </w:rPr>
              <w:t>Capabilities</w:t>
            </w:r>
          </w:p>
        </w:tc>
      </w:tr>
      <w:tr>
        <w:trPr>
          <w:cantSplit w:val="true"/>
        </w:trPr>
        <w:tc>
          <w:tcPr>
            <w:tcW w:type="dxa" w:w="2232"/>
            <w:vAlign w:val="top"/>
          </w:tcPr>
          <w:p>
            <w:pPr>
              <w:spacing w:after="0" w:line="240" w:lineRule="auto"/>
            </w:pPr>
            <w:r>
              <w:rPr>
                <w:sz w:val="16"/>
              </w:rPr>
            </w:r>
            <w:r>
              <w:rPr>
                <w:b w:val="0"/>
                <w:sz w:val="16"/>
              </w:rPr>
              <w:t>Teaching &amp; Curriculum</w:t>
            </w:r>
          </w:p>
        </w:tc>
        <w:tc>
          <w:tcPr>
            <w:tcW w:type="dxa" w:w="8496"/>
            <w:vAlign w:val="top"/>
          </w:tcPr>
          <w:p>
            <w:pPr>
              <w:spacing w:after="0" w:line="240" w:lineRule="auto"/>
            </w:pPr>
            <w:r>
              <w:rPr>
                <w:sz w:val="16"/>
              </w:rPr>
            </w:r>
            <w:r>
              <w:rPr>
                <w:b w:val="0"/>
                <w:sz w:val="16"/>
              </w:rPr>
              <w:t>Anthropology instruction; archaeology education; online and asynchronous course design; Canvas and D2L Brightspace course development; assessment; rubrics; SLOs; learner-centered instruction.</w:t>
            </w:r>
          </w:p>
        </w:tc>
      </w:tr>
      <w:tr>
        <w:trPr>
          <w:cantSplit w:val="true"/>
        </w:trPr>
        <w:tc>
          <w:tcPr>
            <w:tcW w:type="dxa" w:w="2232"/>
            <w:vAlign w:val="top"/>
          </w:tcPr>
          <w:p>
            <w:pPr>
              <w:spacing w:after="0" w:line="240" w:lineRule="auto"/>
            </w:pPr>
            <w:r>
              <w:rPr>
                <w:sz w:val="16"/>
              </w:rPr>
            </w:r>
            <w:r>
              <w:rPr>
                <w:b w:val="0"/>
                <w:sz w:val="16"/>
              </w:rPr>
              <w:t>Archaeology &amp; Heritage</w:t>
            </w:r>
          </w:p>
        </w:tc>
        <w:tc>
          <w:tcPr>
            <w:tcW w:type="dxa" w:w="8496"/>
            <w:vAlign w:val="top"/>
          </w:tcPr>
          <w:p>
            <w:pPr>
              <w:spacing w:after="0" w:line="240" w:lineRule="auto"/>
            </w:pPr>
            <w:r>
              <w:rPr>
                <w:sz w:val="16"/>
              </w:rPr>
            </w:r>
            <w:r>
              <w:rPr>
                <w:b w:val="0"/>
                <w:sz w:val="16"/>
              </w:rPr>
              <w:t>Historical archaeology; field archaeology; excavation supervision; artifact analysis; public archaeology; volunteer coordination; site documentation; heritage education.</w:t>
            </w:r>
          </w:p>
        </w:tc>
      </w:tr>
      <w:tr>
        <w:trPr>
          <w:cantSplit w:val="true"/>
        </w:trPr>
        <w:tc>
          <w:tcPr>
            <w:tcW w:type="dxa" w:w="2232"/>
            <w:vAlign w:val="top"/>
          </w:tcPr>
          <w:p>
            <w:pPr>
              <w:spacing w:after="0" w:line="240" w:lineRule="auto"/>
            </w:pPr>
            <w:r>
              <w:rPr>
                <w:sz w:val="16"/>
              </w:rPr>
            </w:r>
            <w:r>
              <w:rPr>
                <w:b w:val="0"/>
                <w:sz w:val="16"/>
              </w:rPr>
              <w:t>Research &amp; Documentation</w:t>
            </w:r>
          </w:p>
        </w:tc>
        <w:tc>
          <w:tcPr>
            <w:tcW w:type="dxa" w:w="8496"/>
            <w:vAlign w:val="top"/>
          </w:tcPr>
          <w:p>
            <w:pPr>
              <w:spacing w:after="0" w:line="240" w:lineRule="auto"/>
            </w:pPr>
            <w:r>
              <w:rPr>
                <w:sz w:val="16"/>
              </w:rPr>
            </w:r>
            <w:r>
              <w:rPr>
                <w:b w:val="0"/>
                <w:sz w:val="16"/>
              </w:rPr>
              <w:t>Archival research; academic writing; archaeological records; artifact databases; structured documentation; database cleanup; reporting workflows.</w:t>
            </w:r>
          </w:p>
        </w:tc>
      </w:tr>
    </w:tbl>
    <w:p>
      <w:pPr>
        <w:pStyle w:val="Heading1"/>
        <w:pBdr>
          <w:bottom w:val="single" w:sz="6" w:space="1" w:color="7F7F7F"/>
        </w:pBdr>
      </w:pPr>
      <w:r>
        <w:t>Education</w:t>
      </w:r>
    </w:p>
    <w:tbl>
      <w:tblPr>
        <w:tblStyle w:val="TableGrid"/>
        <w:tblW w:type="auto" w:w="0"/>
        <w:jc w:val="center"/>
        <w:tblLayout w:type="autofit"/>
        <w:tblLook w:firstColumn="1" w:firstRow="1" w:lastColumn="0" w:lastRow="0" w:noHBand="0" w:noVBand="1" w:val="04A0"/>
      </w:tblPr>
      <w:tblGrid>
        <w:gridCol w:w="2592"/>
        <w:gridCol w:w="2592"/>
        <w:gridCol w:w="2592"/>
        <w:gridCol w:w="2592"/>
      </w:tblGrid>
      <w:tr>
        <w:trPr>
          <w:tblHeader w:val="true"/>
          <w:cantSplit w:val="true"/>
        </w:trPr>
        <w:tc>
          <w:tcPr>
            <w:tcW w:type="dxa" w:w="3312"/>
            <w:shd w:fill="D9EAF7"/>
          </w:tcPr>
          <w:p>
            <w:pPr>
              <w:spacing w:after="0" w:line="240" w:lineRule="auto"/>
            </w:pPr>
            <w:r>
              <w:rPr>
                <w:sz w:val="16"/>
              </w:rPr>
            </w:r>
            <w:r>
              <w:rPr>
                <w:b/>
                <w:sz w:val="16"/>
              </w:rPr>
              <w:t>Degree</w:t>
            </w:r>
          </w:p>
        </w:tc>
        <w:tc>
          <w:tcPr>
            <w:tcW w:type="dxa" w:w="2592"/>
            <w:shd w:fill="D9EAF7"/>
          </w:tcPr>
          <w:p>
            <w:pPr>
              <w:spacing w:after="0" w:line="240" w:lineRule="auto"/>
            </w:pPr>
            <w:r>
              <w:rPr>
                <w:sz w:val="16"/>
              </w:rPr>
            </w:r>
            <w:r>
              <w:rPr>
                <w:b/>
                <w:sz w:val="16"/>
              </w:rPr>
              <w:t>Institution</w:t>
            </w:r>
          </w:p>
        </w:tc>
        <w:tc>
          <w:tcPr>
            <w:tcW w:type="dxa" w:w="1296"/>
            <w:shd w:fill="D9EAF7"/>
          </w:tcPr>
          <w:p>
            <w:pPr>
              <w:spacing w:after="0" w:line="240" w:lineRule="auto"/>
            </w:pPr>
            <w:r>
              <w:rPr>
                <w:sz w:val="16"/>
              </w:rPr>
            </w:r>
            <w:r>
              <w:rPr>
                <w:b/>
                <w:sz w:val="16"/>
              </w:rPr>
              <w:t>Date</w:t>
            </w:r>
          </w:p>
        </w:tc>
        <w:tc>
          <w:tcPr>
            <w:tcW w:type="dxa" w:w="3312"/>
            <w:shd w:fill="D9EAF7"/>
          </w:tcPr>
          <w:p>
            <w:pPr>
              <w:spacing w:after="0" w:line="240" w:lineRule="auto"/>
            </w:pPr>
            <w:r>
              <w:rPr>
                <w:sz w:val="16"/>
              </w:rPr>
            </w:r>
            <w:r>
              <w:rPr>
                <w:b/>
                <w:sz w:val="16"/>
              </w:rPr>
              <w:t>Notes</w:t>
            </w:r>
          </w:p>
        </w:tc>
      </w:tr>
      <w:tr>
        <w:trPr>
          <w:cantSplit w:val="true"/>
        </w:trPr>
        <w:tc>
          <w:tcPr>
            <w:tcW w:type="dxa" w:w="3312"/>
            <w:vAlign w:val="top"/>
          </w:tcPr>
          <w:p>
            <w:pPr>
              <w:spacing w:after="0" w:line="240" w:lineRule="auto"/>
            </w:pPr>
            <w:r>
              <w:rPr>
                <w:sz w:val="16"/>
              </w:rPr>
            </w:r>
            <w:r>
              <w:rPr>
                <w:b w:val="0"/>
                <w:sz w:val="16"/>
              </w:rPr>
              <w:t>Master of Arts (M.A.), Anthropology</w:t>
            </w:r>
          </w:p>
        </w:tc>
        <w:tc>
          <w:tcPr>
            <w:tcW w:type="dxa" w:w="2592"/>
            <w:vAlign w:val="top"/>
          </w:tcPr>
          <w:p>
            <w:pPr>
              <w:spacing w:after="0" w:line="240" w:lineRule="auto"/>
            </w:pPr>
            <w:r>
              <w:rPr>
                <w:sz w:val="16"/>
              </w:rPr>
            </w:r>
            <w:r>
              <w:rPr>
                <w:b w:val="0"/>
                <w:sz w:val="16"/>
              </w:rPr>
              <w:t>University of Houston</w:t>
            </w:r>
          </w:p>
        </w:tc>
        <w:tc>
          <w:tcPr>
            <w:tcW w:type="dxa" w:w="1296"/>
            <w:vAlign w:val="top"/>
          </w:tcPr>
          <w:p>
            <w:pPr>
              <w:spacing w:after="0" w:line="240" w:lineRule="auto"/>
            </w:pPr>
            <w:r>
              <w:rPr>
                <w:sz w:val="16"/>
              </w:rPr>
            </w:r>
            <w:r>
              <w:rPr>
                <w:b w:val="0"/>
                <w:sz w:val="16"/>
              </w:rPr>
              <w:t>December 2013</w:t>
            </w:r>
          </w:p>
        </w:tc>
        <w:tc>
          <w:tcPr>
            <w:tcW w:type="dxa" w:w="3312"/>
            <w:vAlign w:val="top"/>
          </w:tcPr>
          <w:p>
            <w:pPr>
              <w:spacing w:after="0" w:line="240" w:lineRule="auto"/>
            </w:pPr>
            <w:r>
              <w:rPr>
                <w:sz w:val="16"/>
              </w:rPr>
            </w:r>
            <w:r>
              <w:rPr>
                <w:b w:val="0"/>
                <w:sz w:val="16"/>
              </w:rPr>
              <w:t>Archaeology; graduate field school supervision and archaeology lab co-direction. GPA 3.973.</w:t>
            </w:r>
          </w:p>
        </w:tc>
      </w:tr>
      <w:tr>
        <w:trPr>
          <w:cantSplit w:val="true"/>
        </w:trPr>
        <w:tc>
          <w:tcPr>
            <w:tcW w:type="dxa" w:w="3312"/>
            <w:vAlign w:val="top"/>
          </w:tcPr>
          <w:p>
            <w:pPr>
              <w:spacing w:after="0" w:line="240" w:lineRule="auto"/>
            </w:pPr>
            <w:r>
              <w:rPr>
                <w:sz w:val="16"/>
              </w:rPr>
            </w:r>
            <w:r>
              <w:rPr>
                <w:b w:val="0"/>
                <w:sz w:val="16"/>
              </w:rPr>
              <w:t>Bachelor of Business Administration (B.B.A.), Management Information Systems</w:t>
            </w:r>
          </w:p>
        </w:tc>
        <w:tc>
          <w:tcPr>
            <w:tcW w:type="dxa" w:w="2592"/>
            <w:vAlign w:val="top"/>
          </w:tcPr>
          <w:p>
            <w:pPr>
              <w:spacing w:after="0" w:line="240" w:lineRule="auto"/>
            </w:pPr>
            <w:r>
              <w:rPr>
                <w:sz w:val="16"/>
              </w:rPr>
            </w:r>
            <w:r>
              <w:rPr>
                <w:b w:val="0"/>
                <w:sz w:val="16"/>
              </w:rPr>
              <w:t>University of Houston</w:t>
            </w:r>
          </w:p>
        </w:tc>
        <w:tc>
          <w:tcPr>
            <w:tcW w:type="dxa" w:w="1296"/>
            <w:vAlign w:val="top"/>
          </w:tcPr>
          <w:p>
            <w:pPr>
              <w:spacing w:after="0" w:line="240" w:lineRule="auto"/>
            </w:pPr>
            <w:r>
              <w:rPr>
                <w:sz w:val="16"/>
              </w:rPr>
            </w:r>
            <w:r>
              <w:rPr>
                <w:b w:val="0"/>
                <w:sz w:val="16"/>
              </w:rPr>
              <w:t>May 1996</w:t>
            </w:r>
          </w:p>
        </w:tc>
        <w:tc>
          <w:tcPr>
            <w:tcW w:type="dxa" w:w="3312"/>
            <w:vAlign w:val="top"/>
          </w:tcPr>
          <w:p>
            <w:pPr>
              <w:spacing w:after="0" w:line="240" w:lineRule="auto"/>
            </w:pPr>
            <w:r>
              <w:rPr>
                <w:sz w:val="16"/>
              </w:rPr>
            </w:r>
            <w:r>
              <w:rPr>
                <w:b w:val="0"/>
                <w:sz w:val="16"/>
              </w:rPr>
              <w:t>Delta Sigma Pi Professional Fraternity.</w:t>
            </w:r>
          </w:p>
        </w:tc>
      </w:tr>
    </w:tbl>
    <w:p>
      <w:pPr>
        <w:pStyle w:val="Heading1"/>
        <w:pBdr>
          <w:bottom w:val="single" w:sz="6" w:space="1" w:color="7F7F7F"/>
        </w:pBdr>
      </w:pPr>
      <w:r>
        <w:t>Professional Registration &amp; Associations</w:t>
      </w:r>
    </w:p>
    <w:p>
      <w:pPr>
        <w:pStyle w:val="CVBullet"/>
      </w:pPr>
      <w:r>
        <w:rPr>
          <w:b/>
        </w:rPr>
        <w:t xml:space="preserve">• </w:t>
      </w:r>
      <w:r>
        <w:t>Registered Professional Archaeologist (RPA), Register of Professional Archaeologists, since 2014.</w:t>
      </w:r>
    </w:p>
    <w:p>
      <w:pPr>
        <w:pStyle w:val="CVBullet"/>
      </w:pPr>
      <w:r>
        <w:rPr>
          <w:b/>
        </w:rPr>
        <w:t xml:space="preserve">• </w:t>
      </w:r>
      <w:r>
        <w:t>Member, Society for Historical Archaeology.</w:t>
      </w:r>
    </w:p>
    <w:p>
      <w:pPr>
        <w:pStyle w:val="CVBullet"/>
      </w:pPr>
      <w:r>
        <w:rPr>
          <w:b/>
        </w:rPr>
        <w:t xml:space="preserve">• </w:t>
      </w:r>
      <w:r>
        <w:t>Member, Archaeological Institute of America.</w:t>
      </w:r>
    </w:p>
    <w:p>
      <w:pPr>
        <w:pStyle w:val="CVBullet"/>
      </w:pPr>
      <w:r>
        <w:rPr>
          <w:b/>
        </w:rPr>
        <w:t xml:space="preserve">• </w:t>
      </w:r>
      <w:r>
        <w:t>Member, American Anthropological Association.</w:t>
      </w:r>
    </w:p>
    <w:p>
      <w:pPr>
        <w:pStyle w:val="CVBullet"/>
      </w:pPr>
      <w:r>
        <w:rPr>
          <w:b/>
        </w:rPr>
        <w:t xml:space="preserve">• </w:t>
      </w:r>
      <w:r>
        <w:t>Member, Fort Bend Archaeological Society.</w:t>
      </w:r>
    </w:p>
    <w:p>
      <w:pPr>
        <w:pStyle w:val="CVBullet"/>
      </w:pPr>
      <w:r>
        <w:rPr>
          <w:b/>
        </w:rPr>
        <w:t xml:space="preserve">• </w:t>
      </w:r>
      <w:r>
        <w:t>Previous National Community Service Chair, Delta Sigma Pi.</w:t>
      </w:r>
    </w:p>
    <w:p>
      <w:pPr>
        <w:pStyle w:val="Heading1"/>
        <w:pBdr>
          <w:bottom w:val="single" w:sz="6" w:space="1" w:color="7F7F7F"/>
        </w:pBdr>
      </w:pPr>
      <w:r>
        <w:t>Courses Regularly Taught</w:t>
      </w:r>
    </w:p>
    <w:tbl>
      <w:tblPr>
        <w:tblStyle w:val="TableGrid"/>
        <w:tblW w:type="auto" w:w="0"/>
        <w:jc w:val="center"/>
        <w:tblLayout w:type="autofit"/>
        <w:tblLook w:firstColumn="1" w:firstRow="1" w:lastColumn="0" w:lastRow="0" w:noHBand="0" w:noVBand="1" w:val="04A0"/>
      </w:tblPr>
      <w:tblGrid>
        <w:gridCol w:w="3456"/>
        <w:gridCol w:w="3456"/>
        <w:gridCol w:w="3456"/>
      </w:tblGrid>
      <w:tr>
        <w:trPr>
          <w:tblHeader w:val="true"/>
          <w:cantSplit w:val="true"/>
        </w:trPr>
        <w:tc>
          <w:tcPr>
            <w:tcW w:type="dxa" w:w="1440"/>
            <w:shd w:fill="D9EAF7"/>
          </w:tcPr>
          <w:p>
            <w:pPr>
              <w:spacing w:after="0" w:line="240" w:lineRule="auto"/>
            </w:pPr>
            <w:r>
              <w:rPr>
                <w:sz w:val="16"/>
              </w:rPr>
            </w:r>
            <w:r>
              <w:rPr>
                <w:b/>
                <w:sz w:val="16"/>
              </w:rPr>
              <w:t>Course</w:t>
            </w:r>
          </w:p>
        </w:tc>
        <w:tc>
          <w:tcPr>
            <w:tcW w:type="dxa" w:w="4320"/>
            <w:shd w:fill="D9EAF7"/>
          </w:tcPr>
          <w:p>
            <w:pPr>
              <w:spacing w:after="0" w:line="240" w:lineRule="auto"/>
            </w:pPr>
            <w:r>
              <w:rPr>
                <w:sz w:val="16"/>
              </w:rPr>
            </w:r>
            <w:r>
              <w:rPr>
                <w:b/>
                <w:sz w:val="16"/>
              </w:rPr>
              <w:t>Title</w:t>
            </w:r>
          </w:p>
        </w:tc>
        <w:tc>
          <w:tcPr>
            <w:tcW w:type="dxa" w:w="4896"/>
            <w:shd w:fill="D9EAF7"/>
          </w:tcPr>
          <w:p>
            <w:pPr>
              <w:spacing w:after="0" w:line="240" w:lineRule="auto"/>
            </w:pPr>
            <w:r>
              <w:rPr>
                <w:sz w:val="16"/>
              </w:rPr>
            </w:r>
            <w:r>
              <w:rPr>
                <w:b/>
                <w:sz w:val="16"/>
              </w:rPr>
              <w:t>Delivery / Notes</w:t>
            </w:r>
          </w:p>
        </w:tc>
      </w:tr>
      <w:tr>
        <w:trPr>
          <w:cantSplit w:val="true"/>
        </w:trPr>
        <w:tc>
          <w:tcPr>
            <w:tcW w:type="dxa" w:w="1440"/>
            <w:vAlign w:val="top"/>
          </w:tcPr>
          <w:p>
            <w:pPr>
              <w:spacing w:after="0" w:line="240" w:lineRule="auto"/>
            </w:pPr>
            <w:r>
              <w:rPr>
                <w:sz w:val="16"/>
              </w:rPr>
            </w:r>
            <w:r>
              <w:rPr>
                <w:b w:val="0"/>
                <w:sz w:val="16"/>
              </w:rPr>
              <w:t>ANTH 2301</w:t>
            </w:r>
          </w:p>
        </w:tc>
        <w:tc>
          <w:tcPr>
            <w:tcW w:type="dxa" w:w="4320"/>
            <w:vAlign w:val="top"/>
          </w:tcPr>
          <w:p>
            <w:pPr>
              <w:spacing w:after="0" w:line="240" w:lineRule="auto"/>
            </w:pPr>
            <w:r>
              <w:rPr>
                <w:sz w:val="16"/>
              </w:rPr>
            </w:r>
            <w:r>
              <w:rPr>
                <w:b w:val="0"/>
                <w:sz w:val="16"/>
              </w:rPr>
              <w:t>Physical Anthropology / Introduction to Physical Anthropology</w:t>
            </w:r>
          </w:p>
        </w:tc>
        <w:tc>
          <w:tcPr>
            <w:tcW w:type="dxa" w:w="4896"/>
            <w:vAlign w:val="top"/>
          </w:tcPr>
          <w:p>
            <w:pPr>
              <w:spacing w:after="0" w:line="240" w:lineRule="auto"/>
            </w:pPr>
            <w:r>
              <w:rPr>
                <w:sz w:val="16"/>
              </w:rPr>
            </w:r>
            <w:r>
              <w:rPr>
                <w:b w:val="0"/>
                <w:sz w:val="16"/>
              </w:rPr>
              <w:t>Online, hybrid, and face-to-face formats.</w:t>
            </w:r>
          </w:p>
        </w:tc>
      </w:tr>
      <w:tr>
        <w:trPr>
          <w:cantSplit w:val="true"/>
        </w:trPr>
        <w:tc>
          <w:tcPr>
            <w:tcW w:type="dxa" w:w="1440"/>
            <w:vAlign w:val="top"/>
          </w:tcPr>
          <w:p>
            <w:pPr>
              <w:spacing w:after="0" w:line="240" w:lineRule="auto"/>
            </w:pPr>
            <w:r>
              <w:rPr>
                <w:sz w:val="16"/>
              </w:rPr>
            </w:r>
            <w:r>
              <w:rPr>
                <w:b w:val="0"/>
                <w:sz w:val="16"/>
              </w:rPr>
              <w:t>ANTH 2302</w:t>
            </w:r>
          </w:p>
        </w:tc>
        <w:tc>
          <w:tcPr>
            <w:tcW w:type="dxa" w:w="4320"/>
            <w:vAlign w:val="top"/>
          </w:tcPr>
          <w:p>
            <w:pPr>
              <w:spacing w:after="0" w:line="240" w:lineRule="auto"/>
            </w:pPr>
            <w:r>
              <w:rPr>
                <w:sz w:val="16"/>
              </w:rPr>
            </w:r>
            <w:r>
              <w:rPr>
                <w:b w:val="0"/>
                <w:sz w:val="16"/>
              </w:rPr>
              <w:t>Introduction to Archaeology</w:t>
            </w:r>
          </w:p>
        </w:tc>
        <w:tc>
          <w:tcPr>
            <w:tcW w:type="dxa" w:w="4896"/>
            <w:vAlign w:val="top"/>
          </w:tcPr>
          <w:p>
            <w:pPr>
              <w:spacing w:after="0" w:line="240" w:lineRule="auto"/>
            </w:pPr>
            <w:r>
              <w:rPr>
                <w:sz w:val="16"/>
              </w:rPr>
            </w:r>
            <w:r>
              <w:rPr>
                <w:b w:val="0"/>
                <w:sz w:val="16"/>
              </w:rPr>
              <w:t>Online, hybrid, and face-to-face formats.</w:t>
            </w:r>
          </w:p>
        </w:tc>
      </w:tr>
      <w:tr>
        <w:trPr>
          <w:cantSplit w:val="true"/>
        </w:trPr>
        <w:tc>
          <w:tcPr>
            <w:tcW w:type="dxa" w:w="1440"/>
            <w:vAlign w:val="top"/>
          </w:tcPr>
          <w:p>
            <w:pPr>
              <w:spacing w:after="0" w:line="240" w:lineRule="auto"/>
            </w:pPr>
            <w:r>
              <w:rPr>
                <w:sz w:val="16"/>
              </w:rPr>
            </w:r>
            <w:r>
              <w:rPr>
                <w:b w:val="0"/>
                <w:sz w:val="16"/>
              </w:rPr>
              <w:t>ANTH 2351</w:t>
            </w:r>
          </w:p>
        </w:tc>
        <w:tc>
          <w:tcPr>
            <w:tcW w:type="dxa" w:w="4320"/>
            <w:vAlign w:val="top"/>
          </w:tcPr>
          <w:p>
            <w:pPr>
              <w:spacing w:after="0" w:line="240" w:lineRule="auto"/>
            </w:pPr>
            <w:r>
              <w:rPr>
                <w:sz w:val="16"/>
              </w:rPr>
            </w:r>
            <w:r>
              <w:rPr>
                <w:b w:val="0"/>
                <w:sz w:val="16"/>
              </w:rPr>
              <w:t>Cultural Anthropology</w:t>
            </w:r>
          </w:p>
        </w:tc>
        <w:tc>
          <w:tcPr>
            <w:tcW w:type="dxa" w:w="4896"/>
            <w:vAlign w:val="top"/>
          </w:tcPr>
          <w:p>
            <w:pPr>
              <w:spacing w:after="0" w:line="240" w:lineRule="auto"/>
            </w:pPr>
            <w:r>
              <w:rPr>
                <w:sz w:val="16"/>
              </w:rPr>
            </w:r>
            <w:r>
              <w:rPr>
                <w:b w:val="0"/>
                <w:sz w:val="16"/>
              </w:rPr>
              <w:t>Online, hybrid, and face-to-face formats.</w:t>
            </w:r>
          </w:p>
        </w:tc>
      </w:tr>
    </w:tbl>
    <w:p>
      <w:pPr>
        <w:pStyle w:val="Heading1"/>
        <w:pBdr>
          <w:bottom w:val="single" w:sz="6" w:space="1" w:color="7F7F7F"/>
        </w:pBdr>
      </w:pPr>
      <w:r>
        <w:t>Academic Teaching Experience</w:t>
      </w:r>
    </w:p>
    <w:p>
      <w:pPr>
        <w:pStyle w:val="Heading3"/>
      </w:pPr>
      <w:r>
        <w:rPr>
          <w:b/>
        </w:rPr>
        <w:t>Adjunct Professor of Anthropology</w:t>
      </w:r>
      <w:r>
        <w:rPr>
          <w:i/>
        </w:rPr>
        <w:t xml:space="preserve"> | Houston Community College System</w:t>
      </w:r>
      <w:r>
        <w:t xml:space="preserve"> | July 2014 - Present</w:t>
      </w:r>
      <w:r>
        <w:t xml:space="preserve"> | Houston, Texas</w:t>
      </w:r>
    </w:p>
    <w:p>
      <w:pPr>
        <w:pStyle w:val="CVBullet"/>
      </w:pPr>
      <w:r>
        <w:rPr>
          <w:b/>
        </w:rPr>
        <w:t xml:space="preserve">• </w:t>
      </w:r>
      <w:r>
        <w:t>Teach anthropology and archaeology courses in online and face-to-face formats across the HCC system, including Physical Anthropology and Introduction to Archaeology.</w:t>
      </w:r>
    </w:p>
    <w:p>
      <w:pPr>
        <w:pStyle w:val="CVBullet"/>
      </w:pPr>
      <w:r>
        <w:rPr>
          <w:b/>
        </w:rPr>
        <w:t xml:space="preserve">• </w:t>
      </w:r>
      <w:r>
        <w:t>Develop and maintain LMS-based course materials, lectures, assessments, rubrics, discussions, and student support resources.</w:t>
      </w:r>
    </w:p>
    <w:p>
      <w:pPr>
        <w:pStyle w:val="CVBullet"/>
      </w:pPr>
      <w:r>
        <w:rPr>
          <w:b/>
        </w:rPr>
        <w:t xml:space="preserve">• </w:t>
      </w:r>
      <w:r>
        <w:t>Support student success through organized course design, clear communication, timely feedback, and learner-centered instruction.</w:t>
      </w:r>
    </w:p>
    <w:p>
      <w:pPr>
        <w:pStyle w:val="CVBullet"/>
      </w:pPr>
      <w:r>
        <w:rPr>
          <w:b/>
        </w:rPr>
        <w:t xml:space="preserve">• </w:t>
      </w:r>
      <w:r>
        <w:t>Focus areas include anthropology instruction, archaeology education, online teaching, Canvas LMS, assessment, student engagement, and course development.</w:t>
      </w:r>
    </w:p>
    <w:p>
      <w:pPr>
        <w:pStyle w:val="Heading3"/>
      </w:pPr>
      <w:r>
        <w:rPr>
          <w:b/>
        </w:rPr>
        <w:t>Adjunct Professor of Anthropology</w:t>
      </w:r>
      <w:r>
        <w:rPr>
          <w:i/>
        </w:rPr>
        <w:t xml:space="preserve"> | Lone Star College System</w:t>
      </w:r>
      <w:r>
        <w:t xml:space="preserve"> | January 2015 - Present</w:t>
      </w:r>
      <w:r>
        <w:t xml:space="preserve"> | Houston, Texas</w:t>
      </w:r>
    </w:p>
    <w:p>
      <w:pPr>
        <w:pStyle w:val="CVBullet"/>
      </w:pPr>
      <w:r>
        <w:rPr>
          <w:b/>
        </w:rPr>
        <w:t xml:space="preserve">• </w:t>
      </w:r>
      <w:r>
        <w:t>Teach Physical Anthropology, Introduction to Archaeology, and Cultural Anthropology in online, hybrid, and in-person formats, including instruction at Kingwood and University Park campuses.</w:t>
      </w:r>
    </w:p>
    <w:p>
      <w:pPr>
        <w:pStyle w:val="CVBullet"/>
      </w:pPr>
      <w:r>
        <w:rPr>
          <w:b/>
        </w:rPr>
        <w:t xml:space="preserve">• </w:t>
      </w:r>
      <w:r>
        <w:t>Develop and maintain online and hybrid course materials using D2L Brightspace.</w:t>
      </w:r>
    </w:p>
    <w:p>
      <w:pPr>
        <w:pStyle w:val="CVBullet"/>
      </w:pPr>
      <w:r>
        <w:rPr>
          <w:b/>
        </w:rPr>
        <w:t xml:space="preserve">• </w:t>
      </w:r>
      <w:r>
        <w:t>Participate in curriculum and assessment activities, including Student Learning Outcomes work and anthropology curriculum initiatives.</w:t>
      </w:r>
    </w:p>
    <w:p>
      <w:pPr>
        <w:pStyle w:val="CVBullet"/>
      </w:pPr>
      <w:r>
        <w:rPr>
          <w:b/>
        </w:rPr>
        <w:t xml:space="preserve">• </w:t>
      </w:r>
      <w:r>
        <w:t>Served as Adjunct Representative for the Kingwood Faculty Senate.</w:t>
      </w:r>
    </w:p>
    <w:p>
      <w:pPr>
        <w:pStyle w:val="CVBullet"/>
      </w:pPr>
      <w:r>
        <w:rPr>
          <w:b/>
        </w:rPr>
        <w:t xml:space="preserve">• </w:t>
      </w:r>
      <w:r>
        <w:t>Focus areas include anthropology instruction, asynchronous and hybrid teaching, D2L Brightspace, curriculum development, SLO assessment, and faculty governance.</w:t>
      </w:r>
    </w:p>
    <w:p>
      <w:pPr>
        <w:pStyle w:val="Heading1"/>
        <w:pBdr>
          <w:bottom w:val="single" w:sz="6" w:space="1" w:color="7F7F7F"/>
        </w:pBdr>
      </w:pPr>
      <w:r>
        <w:t>Field, Research &amp; Public Archaeology Experience</w:t>
      </w:r>
    </w:p>
    <w:p>
      <w:pPr>
        <w:pStyle w:val="Heading3"/>
      </w:pPr>
      <w:r>
        <w:rPr>
          <w:b/>
        </w:rPr>
        <w:t>Co-Principal Investigator / Site Supervisor</w:t>
      </w:r>
      <w:r>
        <w:rPr>
          <w:i/>
        </w:rPr>
        <w:t xml:space="preserve"> | Mirabeau B. Lamar Homestead / Fort Bend Archaeological Society</w:t>
      </w:r>
      <w:r>
        <w:t xml:space="preserve"> | January 2015 - Present</w:t>
      </w:r>
      <w:r>
        <w:t xml:space="preserve"> | Richmond, Texas</w:t>
      </w:r>
    </w:p>
    <w:p>
      <w:pPr>
        <w:pStyle w:val="CVBullet"/>
      </w:pPr>
      <w:r>
        <w:rPr>
          <w:b/>
        </w:rPr>
        <w:t xml:space="preserve">• </w:t>
      </w:r>
      <w:r>
        <w:t>Help supervise archaeological excavation, research, artifact analysis, documentation, and public archaeology activities for the Mirabeau B. Lamar Homestead site in Fort Bend County, Texas.</w:t>
      </w:r>
    </w:p>
    <w:p>
      <w:pPr>
        <w:pStyle w:val="CVBullet"/>
      </w:pPr>
      <w:r>
        <w:rPr>
          <w:b/>
        </w:rPr>
        <w:t xml:space="preserve">• </w:t>
      </w:r>
      <w:r>
        <w:t>Support field crews and volunteers, manage archaeological documentation, contribute to research and artifact processing, and help communicate site history and archaeological findings for educational and public audiences.</w:t>
      </w:r>
    </w:p>
    <w:p>
      <w:pPr>
        <w:pStyle w:val="CVBullet"/>
      </w:pPr>
      <w:r>
        <w:rPr>
          <w:b/>
        </w:rPr>
        <w:t xml:space="preserve">• </w:t>
      </w:r>
      <w:r>
        <w:t>Focus areas include historical archaeology, excavation supervision, artifact analysis, field documentation, public archaeology, volunteer coordination, and heritage education.</w:t>
      </w:r>
    </w:p>
    <w:p>
      <w:pPr>
        <w:pStyle w:val="Heading3"/>
      </w:pPr>
      <w:r>
        <w:rPr>
          <w:b/>
        </w:rPr>
        <w:t>Assistant Lab Director / Field Supervisor / Teaching Assistant / Researcher</w:t>
      </w:r>
      <w:r>
        <w:rPr>
          <w:i/>
        </w:rPr>
        <w:t xml:space="preserve"> | University of Houston</w:t>
      </w:r>
      <w:r>
        <w:t xml:space="preserve"> | June 2010 - June 2013</w:t>
      </w:r>
      <w:r>
        <w:t xml:space="preserve"> | Houston, Texas</w:t>
      </w:r>
    </w:p>
    <w:p>
      <w:pPr>
        <w:pStyle w:val="CVBullet"/>
      </w:pPr>
      <w:r>
        <w:rPr>
          <w:b/>
        </w:rPr>
        <w:t xml:space="preserve">• </w:t>
      </w:r>
      <w:r>
        <w:t>Supported archaeology field schools, laboratory operations, and faculty-led research while completing graduate study in anthropology under the direction of Dr. Kenneth L. Brown.</w:t>
      </w:r>
    </w:p>
    <w:p>
      <w:pPr>
        <w:pStyle w:val="CVBullet"/>
      </w:pPr>
      <w:r>
        <w:rPr>
          <w:b/>
        </w:rPr>
        <w:t xml:space="preserve">• </w:t>
      </w:r>
      <w:r>
        <w:t>Supervised excavation crews during summer field schools; trained students in archaeological field and lab methods; reviewed student documentation; supported archaeology laboratory operations.</w:t>
      </w:r>
    </w:p>
    <w:p>
      <w:pPr>
        <w:pStyle w:val="CVBullet"/>
      </w:pPr>
      <w:r>
        <w:rPr>
          <w:b/>
        </w:rPr>
        <w:t xml:space="preserve">• </w:t>
      </w:r>
      <w:r>
        <w:t>Conducted archival and artifact research, contributed to archaeological site reporting, and supported artifact logging and analysis using database and analytical tools.</w:t>
      </w:r>
    </w:p>
    <w:p>
      <w:pPr>
        <w:pStyle w:val="CVBullet"/>
      </w:pPr>
      <w:r>
        <w:rPr>
          <w:b/>
        </w:rPr>
        <w:t xml:space="preserve">• </w:t>
      </w:r>
      <w:r>
        <w:t>Served as teaching assistant while pursuing the M.A.; responsibilities included mentoring students, editing, administering and grading tests, and grading assignments.</w:t>
      </w:r>
    </w:p>
    <w:p>
      <w:pPr>
        <w:pStyle w:val="CVBullet"/>
      </w:pPr>
      <w:r>
        <w:rPr>
          <w:b/>
        </w:rPr>
        <w:t xml:space="preserve">• </w:t>
      </w:r>
      <w:r>
        <w:t>Field supervisor for four seasons of field school and co-lab director for one semester. Responsibilities included supervising excavation crews, archival and historical research, required paperwork, identification and recording of artifacts, and review of student documentation.</w:t>
      </w:r>
    </w:p>
    <w:p>
      <w:pPr>
        <w:pStyle w:val="CVBullet"/>
      </w:pPr>
      <w:r>
        <w:rPr>
          <w:b/>
        </w:rPr>
        <w:t xml:space="preserve">• </w:t>
      </w:r>
      <w:r>
        <w:t>Researched toys from two archaeological sites, including identification, seriation, archival evidence, written documentation, and database records. Used this research for master’s thesis and contributions to National Park Service and State of Texas reporting.</w:t>
      </w:r>
    </w:p>
    <w:p>
      <w:pPr>
        <w:pStyle w:val="CVBullet"/>
      </w:pPr>
      <w:r>
        <w:rPr>
          <w:b/>
        </w:rPr>
        <w:t xml:space="preserve">• </w:t>
      </w:r>
      <w:r>
        <w:t>Created methodology for logging artifacts using Microsoft Access, SQL queries, and SPSS analysis; supervised and proofed student input into the database.</w:t>
      </w:r>
    </w:p>
    <w:p>
      <w:pPr>
        <w:pStyle w:val="Heading1"/>
        <w:pBdr>
          <w:bottom w:val="single" w:sz="6" w:space="1" w:color="7F7F7F"/>
        </w:pBdr>
      </w:pPr>
      <w:r>
        <w:t>Selected Site Experience</w:t>
      </w:r>
    </w:p>
    <w:tbl>
      <w:tblPr>
        <w:tblStyle w:val="TableGrid"/>
        <w:tblW w:type="auto" w:w="0"/>
        <w:jc w:val="center"/>
        <w:tblLayout w:type="autofit"/>
        <w:tblLook w:firstColumn="1" w:firstRow="1" w:lastColumn="0" w:lastRow="0" w:noHBand="0" w:noVBand="1" w:val="04A0"/>
      </w:tblPr>
      <w:tblGrid>
        <w:gridCol w:w="3456"/>
        <w:gridCol w:w="3456"/>
        <w:gridCol w:w="3456"/>
      </w:tblGrid>
      <w:tr>
        <w:trPr>
          <w:tblHeader w:val="true"/>
          <w:cantSplit w:val="true"/>
        </w:trPr>
        <w:tc>
          <w:tcPr>
            <w:tcW w:type="dxa" w:w="3168"/>
            <w:shd w:fill="D9EAF7"/>
          </w:tcPr>
          <w:p>
            <w:pPr>
              <w:spacing w:after="0" w:line="240" w:lineRule="auto"/>
            </w:pPr>
            <w:r>
              <w:rPr>
                <w:sz w:val="15"/>
              </w:rPr>
            </w:r>
            <w:r>
              <w:rPr>
                <w:b/>
                <w:sz w:val="15"/>
              </w:rPr>
              <w:t>Site</w:t>
            </w:r>
          </w:p>
        </w:tc>
        <w:tc>
          <w:tcPr>
            <w:tcW w:type="dxa" w:w="2160"/>
            <w:shd w:fill="D9EAF7"/>
          </w:tcPr>
          <w:p>
            <w:pPr>
              <w:spacing w:after="0" w:line="240" w:lineRule="auto"/>
            </w:pPr>
            <w:r>
              <w:rPr>
                <w:sz w:val="15"/>
              </w:rPr>
            </w:r>
            <w:r>
              <w:rPr>
                <w:b/>
                <w:sz w:val="15"/>
              </w:rPr>
              <w:t>Location</w:t>
            </w:r>
          </w:p>
        </w:tc>
        <w:tc>
          <w:tcPr>
            <w:tcW w:type="dxa" w:w="5472"/>
            <w:shd w:fill="D9EAF7"/>
          </w:tcPr>
          <w:p>
            <w:pPr>
              <w:spacing w:after="0" w:line="240" w:lineRule="auto"/>
            </w:pPr>
            <w:r>
              <w:rPr>
                <w:sz w:val="15"/>
              </w:rPr>
            </w:r>
            <w:r>
              <w:rPr>
                <w:b/>
                <w:sz w:val="15"/>
              </w:rPr>
              <w:t>Experience / Notes</w:t>
            </w:r>
          </w:p>
        </w:tc>
      </w:tr>
      <w:tr>
        <w:trPr>
          <w:cantSplit w:val="true"/>
        </w:trPr>
        <w:tc>
          <w:tcPr>
            <w:tcW w:type="dxa" w:w="3168"/>
            <w:vAlign w:val="top"/>
          </w:tcPr>
          <w:p>
            <w:pPr>
              <w:spacing w:after="0" w:line="240" w:lineRule="auto"/>
            </w:pPr>
            <w:r>
              <w:rPr>
                <w:sz w:val="15"/>
              </w:rPr>
            </w:r>
            <w:r>
              <w:rPr>
                <w:b w:val="0"/>
                <w:sz w:val="15"/>
              </w:rPr>
              <w:t>Mirabeau B. Lamar Homestead</w:t>
            </w:r>
          </w:p>
        </w:tc>
        <w:tc>
          <w:tcPr>
            <w:tcW w:type="dxa" w:w="2160"/>
            <w:vAlign w:val="top"/>
          </w:tcPr>
          <w:p>
            <w:pPr>
              <w:spacing w:after="0" w:line="240" w:lineRule="auto"/>
            </w:pPr>
            <w:r>
              <w:rPr>
                <w:sz w:val="15"/>
              </w:rPr>
            </w:r>
            <w:r>
              <w:rPr>
                <w:b w:val="0"/>
                <w:sz w:val="15"/>
              </w:rPr>
              <w:t>Richmond, Texas</w:t>
            </w:r>
          </w:p>
        </w:tc>
        <w:tc>
          <w:tcPr>
            <w:tcW w:type="dxa" w:w="5472"/>
            <w:vAlign w:val="top"/>
          </w:tcPr>
          <w:p>
            <w:pPr>
              <w:spacing w:after="0" w:line="240" w:lineRule="auto"/>
            </w:pPr>
            <w:r>
              <w:rPr>
                <w:sz w:val="15"/>
              </w:rPr>
            </w:r>
            <w:r>
              <w:rPr>
                <w:b w:val="0"/>
                <w:sz w:val="15"/>
              </w:rPr>
              <w:t>Site supervisor / assistant to PI; excavation, research, artifact analysis, documentation, volunteer coordination, public archaeology.</w:t>
            </w:r>
          </w:p>
        </w:tc>
      </w:tr>
      <w:tr>
        <w:trPr>
          <w:cantSplit w:val="true"/>
        </w:trPr>
        <w:tc>
          <w:tcPr>
            <w:tcW w:type="dxa" w:w="3168"/>
            <w:vAlign w:val="top"/>
          </w:tcPr>
          <w:p>
            <w:pPr>
              <w:spacing w:after="0" w:line="240" w:lineRule="auto"/>
            </w:pPr>
            <w:r>
              <w:rPr>
                <w:sz w:val="15"/>
              </w:rPr>
            </w:r>
            <w:r>
              <w:rPr>
                <w:b w:val="0"/>
                <w:sz w:val="15"/>
              </w:rPr>
              <w:t>Magnolia Plantation, Cane River Creole National Historical Park</w:t>
            </w:r>
          </w:p>
        </w:tc>
        <w:tc>
          <w:tcPr>
            <w:tcW w:type="dxa" w:w="2160"/>
            <w:vAlign w:val="top"/>
          </w:tcPr>
          <w:p>
            <w:pPr>
              <w:spacing w:after="0" w:line="240" w:lineRule="auto"/>
            </w:pPr>
            <w:r>
              <w:rPr>
                <w:sz w:val="15"/>
              </w:rPr>
            </w:r>
            <w:r>
              <w:rPr>
                <w:b w:val="0"/>
                <w:sz w:val="15"/>
              </w:rPr>
              <w:t>Natchitoches, Louisiana</w:t>
            </w:r>
          </w:p>
        </w:tc>
        <w:tc>
          <w:tcPr>
            <w:tcW w:type="dxa" w:w="5472"/>
            <w:vAlign w:val="top"/>
          </w:tcPr>
          <w:p>
            <w:pPr>
              <w:spacing w:after="0" w:line="240" w:lineRule="auto"/>
            </w:pPr>
            <w:r>
              <w:rPr>
                <w:sz w:val="15"/>
              </w:rPr>
            </w:r>
            <w:r>
              <w:rPr>
                <w:b w:val="0"/>
                <w:sz w:val="15"/>
              </w:rPr>
              <w:t>Field technician and field supervisor; cabin yard and Cabin 1 excavation; artifact cleaning and cataloging; contributed to site report.</w:t>
            </w:r>
          </w:p>
        </w:tc>
      </w:tr>
      <w:tr>
        <w:trPr>
          <w:cantSplit w:val="true"/>
        </w:trPr>
        <w:tc>
          <w:tcPr>
            <w:tcW w:type="dxa" w:w="3168"/>
            <w:vAlign w:val="top"/>
          </w:tcPr>
          <w:p>
            <w:pPr>
              <w:spacing w:after="0" w:line="240" w:lineRule="auto"/>
            </w:pPr>
            <w:r>
              <w:rPr>
                <w:sz w:val="15"/>
              </w:rPr>
            </w:r>
            <w:r>
              <w:rPr>
                <w:b w:val="0"/>
                <w:sz w:val="15"/>
              </w:rPr>
              <w:t>Levi Jordan Plantation</w:t>
            </w:r>
          </w:p>
        </w:tc>
        <w:tc>
          <w:tcPr>
            <w:tcW w:type="dxa" w:w="2160"/>
            <w:vAlign w:val="top"/>
          </w:tcPr>
          <w:p>
            <w:pPr>
              <w:spacing w:after="0" w:line="240" w:lineRule="auto"/>
            </w:pPr>
            <w:r>
              <w:rPr>
                <w:sz w:val="15"/>
              </w:rPr>
            </w:r>
            <w:r>
              <w:rPr>
                <w:b w:val="0"/>
                <w:sz w:val="15"/>
              </w:rPr>
              <w:t>Brazoria County, Texas</w:t>
            </w:r>
          </w:p>
        </w:tc>
        <w:tc>
          <w:tcPr>
            <w:tcW w:type="dxa" w:w="5472"/>
            <w:vAlign w:val="top"/>
          </w:tcPr>
          <w:p>
            <w:pPr>
              <w:spacing w:after="0" w:line="240" w:lineRule="auto"/>
            </w:pPr>
            <w:r>
              <w:rPr>
                <w:sz w:val="15"/>
              </w:rPr>
            </w:r>
            <w:r>
              <w:rPr>
                <w:b w:val="0"/>
                <w:sz w:val="15"/>
              </w:rPr>
              <w:t>Field and research experience connected to plantation archaeology, artifact analysis, and graduate research.</w:t>
            </w:r>
          </w:p>
        </w:tc>
      </w:tr>
      <w:tr>
        <w:trPr>
          <w:cantSplit w:val="true"/>
        </w:trPr>
        <w:tc>
          <w:tcPr>
            <w:tcW w:type="dxa" w:w="3168"/>
            <w:vAlign w:val="top"/>
          </w:tcPr>
          <w:p>
            <w:pPr>
              <w:spacing w:after="0" w:line="240" w:lineRule="auto"/>
            </w:pPr>
            <w:r>
              <w:rPr>
                <w:sz w:val="15"/>
              </w:rPr>
            </w:r>
            <w:r>
              <w:rPr>
                <w:b w:val="0"/>
                <w:sz w:val="15"/>
              </w:rPr>
              <w:t>Bethel Missionary Baptist Church</w:t>
            </w:r>
          </w:p>
        </w:tc>
        <w:tc>
          <w:tcPr>
            <w:tcW w:type="dxa" w:w="2160"/>
            <w:vAlign w:val="top"/>
          </w:tcPr>
          <w:p>
            <w:pPr>
              <w:spacing w:after="0" w:line="240" w:lineRule="auto"/>
            </w:pPr>
            <w:r>
              <w:rPr>
                <w:sz w:val="15"/>
              </w:rPr>
            </w:r>
            <w:r>
              <w:rPr>
                <w:b w:val="0"/>
                <w:sz w:val="15"/>
              </w:rPr>
              <w:t>Houston, Texas</w:t>
            </w:r>
          </w:p>
        </w:tc>
        <w:tc>
          <w:tcPr>
            <w:tcW w:type="dxa" w:w="5472"/>
            <w:vAlign w:val="top"/>
          </w:tcPr>
          <w:p>
            <w:pPr>
              <w:spacing w:after="0" w:line="240" w:lineRule="auto"/>
            </w:pPr>
            <w:r>
              <w:rPr>
                <w:sz w:val="15"/>
              </w:rPr>
            </w:r>
            <w:r>
              <w:rPr>
                <w:b w:val="0"/>
                <w:sz w:val="15"/>
              </w:rPr>
              <w:t>Field school / site experience; excavation and documentation.</w:t>
            </w:r>
          </w:p>
        </w:tc>
      </w:tr>
      <w:tr>
        <w:trPr>
          <w:cantSplit w:val="true"/>
        </w:trPr>
        <w:tc>
          <w:tcPr>
            <w:tcW w:type="dxa" w:w="3168"/>
            <w:vAlign w:val="top"/>
          </w:tcPr>
          <w:p>
            <w:pPr>
              <w:spacing w:after="0" w:line="240" w:lineRule="auto"/>
            </w:pPr>
            <w:r>
              <w:rPr>
                <w:sz w:val="15"/>
              </w:rPr>
            </w:r>
            <w:r>
              <w:rPr>
                <w:b w:val="0"/>
                <w:sz w:val="15"/>
              </w:rPr>
              <w:t>Bernardo Plantation</w:t>
            </w:r>
          </w:p>
        </w:tc>
        <w:tc>
          <w:tcPr>
            <w:tcW w:type="dxa" w:w="2160"/>
            <w:vAlign w:val="top"/>
          </w:tcPr>
          <w:p>
            <w:pPr>
              <w:spacing w:after="0" w:line="240" w:lineRule="auto"/>
            </w:pPr>
            <w:r>
              <w:rPr>
                <w:sz w:val="15"/>
              </w:rPr>
            </w:r>
            <w:r>
              <w:rPr>
                <w:b w:val="0"/>
                <w:sz w:val="15"/>
              </w:rPr>
              <w:t>Hempstead, Texas</w:t>
            </w:r>
          </w:p>
        </w:tc>
        <w:tc>
          <w:tcPr>
            <w:tcW w:type="dxa" w:w="5472"/>
            <w:vAlign w:val="top"/>
          </w:tcPr>
          <w:p>
            <w:pPr>
              <w:spacing w:after="0" w:line="240" w:lineRule="auto"/>
            </w:pPr>
            <w:r>
              <w:rPr>
                <w:sz w:val="15"/>
              </w:rPr>
            </w:r>
            <w:r>
              <w:rPr>
                <w:b w:val="0"/>
                <w:sz w:val="15"/>
              </w:rPr>
              <w:t>Skilled volunteer; archaeology project participation.</w:t>
            </w:r>
          </w:p>
        </w:tc>
      </w:tr>
      <w:tr>
        <w:trPr>
          <w:cantSplit w:val="true"/>
        </w:trPr>
        <w:tc>
          <w:tcPr>
            <w:tcW w:type="dxa" w:w="3168"/>
            <w:vAlign w:val="top"/>
          </w:tcPr>
          <w:p>
            <w:pPr>
              <w:spacing w:after="0" w:line="240" w:lineRule="auto"/>
            </w:pPr>
            <w:r>
              <w:rPr>
                <w:sz w:val="15"/>
              </w:rPr>
            </w:r>
            <w:r>
              <w:rPr>
                <w:b w:val="0"/>
                <w:sz w:val="15"/>
              </w:rPr>
              <w:t>Church site at Buckner and Saulnier</w:t>
            </w:r>
          </w:p>
        </w:tc>
        <w:tc>
          <w:tcPr>
            <w:tcW w:type="dxa" w:w="2160"/>
            <w:vAlign w:val="top"/>
          </w:tcPr>
          <w:p>
            <w:pPr>
              <w:spacing w:after="0" w:line="240" w:lineRule="auto"/>
            </w:pPr>
            <w:r>
              <w:rPr>
                <w:sz w:val="15"/>
              </w:rPr>
            </w:r>
            <w:r>
              <w:rPr>
                <w:b w:val="0"/>
                <w:sz w:val="15"/>
              </w:rPr>
              <w:t>Houston, Texas</w:t>
            </w:r>
          </w:p>
        </w:tc>
        <w:tc>
          <w:tcPr>
            <w:tcW w:type="dxa" w:w="5472"/>
            <w:vAlign w:val="top"/>
          </w:tcPr>
          <w:p>
            <w:pPr>
              <w:spacing w:after="0" w:line="240" w:lineRule="auto"/>
            </w:pPr>
            <w:r>
              <w:rPr>
                <w:sz w:val="15"/>
              </w:rPr>
            </w:r>
            <w:r>
              <w:rPr>
                <w:b w:val="0"/>
                <w:sz w:val="15"/>
              </w:rPr>
              <w:t>Investigation of church site at southeast corner of Buckner and Saulnier.</w:t>
            </w:r>
          </w:p>
        </w:tc>
      </w:tr>
      <w:tr>
        <w:trPr>
          <w:cantSplit w:val="true"/>
        </w:trPr>
        <w:tc>
          <w:tcPr>
            <w:tcW w:type="dxa" w:w="3168"/>
            <w:vAlign w:val="top"/>
          </w:tcPr>
          <w:p>
            <w:pPr>
              <w:spacing w:after="0" w:line="240" w:lineRule="auto"/>
            </w:pPr>
            <w:r>
              <w:rPr>
                <w:sz w:val="15"/>
              </w:rPr>
            </w:r>
            <w:r>
              <w:rPr>
                <w:b w:val="0"/>
                <w:sz w:val="15"/>
              </w:rPr>
              <w:t>Roman well at 5 The Green</w:t>
            </w:r>
          </w:p>
        </w:tc>
        <w:tc>
          <w:tcPr>
            <w:tcW w:type="dxa" w:w="2160"/>
            <w:vAlign w:val="top"/>
          </w:tcPr>
          <w:p>
            <w:pPr>
              <w:spacing w:after="0" w:line="240" w:lineRule="auto"/>
            </w:pPr>
            <w:r>
              <w:rPr>
                <w:sz w:val="15"/>
              </w:rPr>
            </w:r>
            <w:r>
              <w:rPr>
                <w:b w:val="0"/>
                <w:sz w:val="15"/>
              </w:rPr>
              <w:t>Hertfordshire, England</w:t>
            </w:r>
          </w:p>
        </w:tc>
        <w:tc>
          <w:tcPr>
            <w:tcW w:type="dxa" w:w="5472"/>
            <w:vAlign w:val="top"/>
          </w:tcPr>
          <w:p>
            <w:pPr>
              <w:spacing w:after="0" w:line="240" w:lineRule="auto"/>
            </w:pPr>
            <w:r>
              <w:rPr>
                <w:sz w:val="15"/>
              </w:rPr>
            </w:r>
            <w:r>
              <w:rPr>
                <w:b w:val="0"/>
                <w:sz w:val="15"/>
              </w:rPr>
              <w:t>Archaeological site experience involving Roman-period feature.</w:t>
            </w:r>
          </w:p>
        </w:tc>
      </w:tr>
    </w:tbl>
    <w:p>
      <w:pPr>
        <w:pStyle w:val="Heading1"/>
        <w:pBdr>
          <w:bottom w:val="single" w:sz="6" w:space="1" w:color="7F7F7F"/>
        </w:pBdr>
      </w:pPr>
      <w:r>
        <w:t>Selected Archaeology Projects</w:t>
      </w:r>
    </w:p>
    <w:p>
      <w:pPr>
        <w:pStyle w:val="Heading3"/>
      </w:pPr>
      <w:r>
        <w:rPr>
          <w:b/>
        </w:rPr>
        <w:t>Magnolia Plantation Archaeology Project</w:t>
      </w:r>
      <w:r>
        <w:rPr>
          <w:i/>
        </w:rPr>
        <w:t xml:space="preserve"> | University of Houston / Cane River Creole National Historical Park</w:t>
      </w:r>
      <w:r>
        <w:t xml:space="preserve"> | June 2010 - June 2011</w:t>
      </w:r>
      <w:r>
        <w:t xml:space="preserve"> | Natchitoches, Louisiana</w:t>
      </w:r>
    </w:p>
    <w:p>
      <w:pPr>
        <w:pStyle w:val="CVBullet"/>
      </w:pPr>
      <w:r>
        <w:rPr>
          <w:b/>
        </w:rPr>
        <w:t xml:space="preserve">• </w:t>
      </w:r>
      <w:r>
        <w:t>Participated in Dr. Kenneth L. Brown’s University of Houston project at Magnolia Plantation, one of several plantation sites used to study the lives of enslaved people and sharecroppers.</w:t>
      </w:r>
    </w:p>
    <w:p>
      <w:pPr>
        <w:pStyle w:val="CVBullet"/>
      </w:pPr>
      <w:r>
        <w:rPr>
          <w:b/>
        </w:rPr>
        <w:t xml:space="preserve">• </w:t>
      </w:r>
      <w:r>
        <w:t>Worked first year as a field technician in the yard of Cabin 3, then served as field supervisor while excavating in Cabin 1, the Midwife’s / Conjurer’s Cabin.</w:t>
      </w:r>
    </w:p>
    <w:p>
      <w:pPr>
        <w:pStyle w:val="CVBullet"/>
      </w:pPr>
      <w:r>
        <w:rPr>
          <w:b/>
        </w:rPr>
        <w:t xml:space="preserve">• </w:t>
      </w:r>
      <w:r>
        <w:t>Supported excavation connected to a possible religious burial under the western window and worked in the archaeology lab cleaning and cataloging artifacts between field schools.</w:t>
      </w:r>
    </w:p>
    <w:p>
      <w:pPr>
        <w:pStyle w:val="Heading1"/>
        <w:pBdr>
          <w:bottom w:val="single" w:sz="6" w:space="1" w:color="7F7F7F"/>
        </w:pBdr>
      </w:pPr>
      <w:r>
        <w:t>Publications &amp; Research</w:t>
      </w:r>
    </w:p>
    <w:tbl>
      <w:tblPr>
        <w:tblStyle w:val="TableGrid"/>
        <w:tblW w:type="auto" w:w="0"/>
        <w:jc w:val="center"/>
        <w:tblLayout w:type="autofit"/>
        <w:tblLook w:firstColumn="1" w:firstRow="1" w:lastColumn="0" w:lastRow="0" w:noHBand="0" w:noVBand="1" w:val="04A0"/>
      </w:tblPr>
      <w:tblGrid>
        <w:gridCol w:w="5184"/>
        <w:gridCol w:w="5184"/>
      </w:tblGrid>
      <w:tr>
        <w:trPr>
          <w:tblHeader w:val="true"/>
          <w:cantSplit w:val="true"/>
        </w:trPr>
        <w:tc>
          <w:tcPr>
            <w:tcW w:type="dxa" w:w="4608"/>
            <w:shd w:fill="D9EAF7"/>
          </w:tcPr>
          <w:p>
            <w:pPr>
              <w:spacing w:after="0" w:line="240" w:lineRule="auto"/>
            </w:pPr>
            <w:r>
              <w:rPr>
                <w:sz w:val="16"/>
              </w:rPr>
            </w:r>
            <w:r>
              <w:rPr>
                <w:b/>
                <w:sz w:val="16"/>
              </w:rPr>
              <w:t>Citation / Work</w:t>
            </w:r>
          </w:p>
        </w:tc>
        <w:tc>
          <w:tcPr>
            <w:tcW w:type="dxa" w:w="6048"/>
            <w:shd w:fill="D9EAF7"/>
          </w:tcPr>
          <w:p>
            <w:pPr>
              <w:spacing w:after="0" w:line="240" w:lineRule="auto"/>
            </w:pPr>
            <w:r>
              <w:rPr>
                <w:sz w:val="16"/>
              </w:rPr>
            </w:r>
            <w:r>
              <w:rPr>
                <w:b/>
                <w:sz w:val="16"/>
              </w:rPr>
              <w:t>Description</w:t>
            </w:r>
          </w:p>
        </w:tc>
      </w:tr>
      <w:tr>
        <w:trPr>
          <w:cantSplit w:val="true"/>
        </w:trPr>
        <w:tc>
          <w:tcPr>
            <w:tcW w:type="dxa" w:w="4608"/>
            <w:vAlign w:val="top"/>
          </w:tcPr>
          <w:p>
            <w:pPr>
              <w:spacing w:after="0" w:line="240" w:lineRule="auto"/>
            </w:pPr>
            <w:r>
              <w:rPr>
                <w:sz w:val="16"/>
              </w:rPr>
            </w:r>
            <w:r>
              <w:rPr>
                <w:b w:val="0"/>
                <w:sz w:val="16"/>
              </w:rPr>
              <w:t>Webb, D. (2014). A Material Cultural Approach to Childhood in Antebellum and Postbellum Gulf Coast Plantation Societies.</w:t>
            </w:r>
          </w:p>
        </w:tc>
        <w:tc>
          <w:tcPr>
            <w:tcW w:type="dxa" w:w="6048"/>
            <w:vAlign w:val="top"/>
          </w:tcPr>
          <w:p>
            <w:pPr>
              <w:spacing w:after="0" w:line="240" w:lineRule="auto"/>
            </w:pPr>
            <w:r>
              <w:rPr>
                <w:sz w:val="16"/>
              </w:rPr>
            </w:r>
            <w:r>
              <w:rPr>
                <w:b w:val="0"/>
                <w:sz w:val="16"/>
              </w:rPr>
              <w:t>Master’s thesis, University of Houston. Research examined children in enslaved and tenant communities using historical evidence and material culture, including toys and school-related artifacts from Gulf Coast plantation contexts.</w:t>
            </w:r>
          </w:p>
        </w:tc>
      </w:tr>
      <w:tr>
        <w:trPr>
          <w:cantSplit w:val="true"/>
        </w:trPr>
        <w:tc>
          <w:tcPr>
            <w:tcW w:type="dxa" w:w="4608"/>
            <w:vAlign w:val="top"/>
          </w:tcPr>
          <w:p>
            <w:pPr>
              <w:spacing w:after="0" w:line="240" w:lineRule="auto"/>
            </w:pPr>
            <w:r>
              <w:rPr>
                <w:sz w:val="16"/>
              </w:rPr>
            </w:r>
            <w:r>
              <w:rPr>
                <w:b w:val="0"/>
                <w:sz w:val="16"/>
              </w:rPr>
              <w:t>Contributor, Site Report, Magnolia Plantation, Cane River Creole National Historical Park.</w:t>
            </w:r>
          </w:p>
        </w:tc>
        <w:tc>
          <w:tcPr>
            <w:tcW w:type="dxa" w:w="6048"/>
            <w:vAlign w:val="top"/>
          </w:tcPr>
          <w:p>
            <w:pPr>
              <w:spacing w:after="0" w:line="240" w:lineRule="auto"/>
            </w:pPr>
            <w:r>
              <w:rPr>
                <w:sz w:val="16"/>
              </w:rPr>
            </w:r>
            <w:r>
              <w:rPr>
                <w:b w:val="0"/>
                <w:sz w:val="16"/>
              </w:rPr>
              <w:t>Pending state approval.</w:t>
            </w:r>
          </w:p>
        </w:tc>
      </w:tr>
    </w:tbl>
    <w:p>
      <w:pPr>
        <w:pStyle w:val="Heading1"/>
        <w:pBdr>
          <w:bottom w:val="single" w:sz="6" w:space="1" w:color="7F7F7F"/>
        </w:pBdr>
      </w:pPr>
      <w:r>
        <w:t>Professional Development &amp; Certifications</w:t>
      </w:r>
    </w:p>
    <w:tbl>
      <w:tblPr>
        <w:tblStyle w:val="TableGrid"/>
        <w:tblW w:type="auto" w:w="0"/>
        <w:jc w:val="center"/>
        <w:tblLayout w:type="autofit"/>
        <w:tblLook w:firstColumn="1" w:firstRow="1" w:lastColumn="0" w:lastRow="0" w:noHBand="0" w:noVBand="1" w:val="04A0"/>
      </w:tblPr>
      <w:tblGrid>
        <w:gridCol w:w="2592"/>
        <w:gridCol w:w="2592"/>
        <w:gridCol w:w="2592"/>
        <w:gridCol w:w="2592"/>
      </w:tblGrid>
      <w:tr>
        <w:trPr>
          <w:tblHeader w:val="true"/>
          <w:cantSplit w:val="true"/>
        </w:trPr>
        <w:tc>
          <w:tcPr>
            <w:tcW w:type="dxa" w:w="3888"/>
            <w:shd w:fill="D9EAF7"/>
          </w:tcPr>
          <w:p>
            <w:pPr>
              <w:spacing w:after="0" w:line="240" w:lineRule="auto"/>
            </w:pPr>
            <w:r>
              <w:rPr>
                <w:sz w:val="15"/>
              </w:rPr>
            </w:r>
            <w:r>
              <w:rPr>
                <w:b/>
                <w:sz w:val="15"/>
              </w:rPr>
              <w:t>Credential</w:t>
            </w:r>
          </w:p>
        </w:tc>
        <w:tc>
          <w:tcPr>
            <w:tcW w:type="dxa" w:w="2448"/>
            <w:shd w:fill="D9EAF7"/>
          </w:tcPr>
          <w:p>
            <w:pPr>
              <w:spacing w:after="0" w:line="240" w:lineRule="auto"/>
            </w:pPr>
            <w:r>
              <w:rPr>
                <w:sz w:val="15"/>
              </w:rPr>
            </w:r>
            <w:r>
              <w:rPr>
                <w:b/>
                <w:sz w:val="15"/>
              </w:rPr>
              <w:t>Issuer</w:t>
            </w:r>
          </w:p>
        </w:tc>
        <w:tc>
          <w:tcPr>
            <w:tcW w:type="dxa" w:w="1584"/>
            <w:shd w:fill="D9EAF7"/>
          </w:tcPr>
          <w:p>
            <w:pPr>
              <w:spacing w:after="0" w:line="240" w:lineRule="auto"/>
            </w:pPr>
            <w:r>
              <w:rPr>
                <w:sz w:val="15"/>
              </w:rPr>
            </w:r>
            <w:r>
              <w:rPr>
                <w:b/>
                <w:sz w:val="15"/>
              </w:rPr>
              <w:t>Date</w:t>
            </w:r>
          </w:p>
        </w:tc>
        <w:tc>
          <w:tcPr>
            <w:tcW w:type="dxa" w:w="2736"/>
            <w:shd w:fill="D9EAF7"/>
          </w:tcPr>
          <w:p>
            <w:pPr>
              <w:spacing w:after="0" w:line="240" w:lineRule="auto"/>
            </w:pPr>
            <w:r>
              <w:rPr>
                <w:sz w:val="15"/>
              </w:rPr>
            </w:r>
            <w:r>
              <w:rPr>
                <w:b/>
                <w:sz w:val="15"/>
              </w:rPr>
              <w:t>Notes</w:t>
            </w:r>
          </w:p>
        </w:tc>
      </w:tr>
      <w:tr>
        <w:trPr>
          <w:cantSplit w:val="true"/>
        </w:trPr>
        <w:tc>
          <w:tcPr>
            <w:tcW w:type="dxa" w:w="3888"/>
            <w:vAlign w:val="top"/>
          </w:tcPr>
          <w:p>
            <w:pPr>
              <w:spacing w:after="0" w:line="240" w:lineRule="auto"/>
            </w:pPr>
            <w:r>
              <w:rPr>
                <w:sz w:val="15"/>
              </w:rPr>
            </w:r>
            <w:r>
              <w:rPr>
                <w:b w:val="0"/>
                <w:sz w:val="15"/>
              </w:rPr>
              <w:t>Registered Professional Archaeologist (RPA)</w:t>
            </w:r>
          </w:p>
        </w:tc>
        <w:tc>
          <w:tcPr>
            <w:tcW w:type="dxa" w:w="2448"/>
            <w:vAlign w:val="top"/>
          </w:tcPr>
          <w:p>
            <w:pPr>
              <w:spacing w:after="0" w:line="240" w:lineRule="auto"/>
            </w:pPr>
            <w:r>
              <w:rPr>
                <w:sz w:val="15"/>
              </w:rPr>
            </w:r>
            <w:r>
              <w:rPr>
                <w:b w:val="0"/>
                <w:sz w:val="15"/>
              </w:rPr>
              <w:t>Register of Professional Archaeologists</w:t>
            </w:r>
          </w:p>
        </w:tc>
        <w:tc>
          <w:tcPr>
            <w:tcW w:type="dxa" w:w="1584"/>
            <w:vAlign w:val="top"/>
          </w:tcPr>
          <w:p>
            <w:pPr>
              <w:spacing w:after="0" w:line="240" w:lineRule="auto"/>
            </w:pPr>
            <w:r>
              <w:rPr>
                <w:sz w:val="15"/>
              </w:rPr>
            </w:r>
            <w:r>
              <w:rPr>
                <w:b w:val="0"/>
                <w:sz w:val="15"/>
              </w:rPr>
              <w:t>Since September 2014</w:t>
            </w:r>
          </w:p>
        </w:tc>
        <w:tc>
          <w:tcPr>
            <w:tcW w:type="dxa" w:w="2736"/>
            <w:vAlign w:val="top"/>
          </w:tcPr>
          <w:p>
            <w:pPr>
              <w:spacing w:after="0" w:line="240" w:lineRule="auto"/>
            </w:pPr>
            <w:r>
              <w:rPr>
                <w:sz w:val="15"/>
              </w:rPr>
            </w:r>
            <w:r>
              <w:rPr>
                <w:b w:val="0"/>
                <w:sz w:val="15"/>
              </w:rPr>
              <w:t>Professional registration.</w:t>
            </w:r>
          </w:p>
        </w:tc>
      </w:tr>
      <w:tr>
        <w:trPr>
          <w:cantSplit w:val="true"/>
        </w:trPr>
        <w:tc>
          <w:tcPr>
            <w:tcW w:type="dxa" w:w="3888"/>
            <w:vAlign w:val="top"/>
          </w:tcPr>
          <w:p>
            <w:pPr>
              <w:spacing w:after="0" w:line="240" w:lineRule="auto"/>
            </w:pPr>
            <w:r>
              <w:rPr>
                <w:sz w:val="15"/>
              </w:rPr>
            </w:r>
            <w:r>
              <w:rPr>
                <w:b w:val="0"/>
                <w:sz w:val="15"/>
              </w:rPr>
              <w:t>Independent Applying the QM Rubric (APPQMR): Statewide Systems</w:t>
            </w:r>
          </w:p>
        </w:tc>
        <w:tc>
          <w:tcPr>
            <w:tcW w:type="dxa" w:w="2448"/>
            <w:vAlign w:val="top"/>
          </w:tcPr>
          <w:p>
            <w:pPr>
              <w:spacing w:after="0" w:line="240" w:lineRule="auto"/>
            </w:pPr>
            <w:r>
              <w:rPr>
                <w:sz w:val="15"/>
              </w:rPr>
            </w:r>
            <w:r>
              <w:rPr>
                <w:b w:val="0"/>
                <w:sz w:val="15"/>
              </w:rPr>
              <w:t>Quality Matters</w:t>
            </w:r>
          </w:p>
        </w:tc>
        <w:tc>
          <w:tcPr>
            <w:tcW w:type="dxa" w:w="1584"/>
            <w:vAlign w:val="top"/>
          </w:tcPr>
          <w:p>
            <w:pPr>
              <w:spacing w:after="0" w:line="240" w:lineRule="auto"/>
            </w:pPr>
            <w:r>
              <w:rPr>
                <w:sz w:val="15"/>
              </w:rPr>
            </w:r>
            <w:r>
              <w:rPr>
                <w:b w:val="0"/>
                <w:sz w:val="15"/>
              </w:rPr>
              <w:t>March 24, 2024</w:t>
            </w:r>
          </w:p>
        </w:tc>
        <w:tc>
          <w:tcPr>
            <w:tcW w:type="dxa" w:w="2736"/>
            <w:vAlign w:val="top"/>
          </w:tcPr>
          <w:p>
            <w:pPr>
              <w:spacing w:after="0" w:line="240" w:lineRule="auto"/>
            </w:pPr>
            <w:r>
              <w:rPr>
                <w:sz w:val="15"/>
              </w:rPr>
            </w:r>
            <w:r>
              <w:rPr>
                <w:b w:val="0"/>
                <w:sz w:val="15"/>
              </w:rPr>
              <w:t>Certificate of completion.</w:t>
            </w:r>
          </w:p>
        </w:tc>
      </w:tr>
      <w:tr>
        <w:trPr>
          <w:cantSplit w:val="true"/>
        </w:trPr>
        <w:tc>
          <w:tcPr>
            <w:tcW w:type="dxa" w:w="3888"/>
            <w:vAlign w:val="top"/>
          </w:tcPr>
          <w:p>
            <w:pPr>
              <w:spacing w:after="0" w:line="240" w:lineRule="auto"/>
            </w:pPr>
            <w:r>
              <w:rPr>
                <w:sz w:val="15"/>
              </w:rPr>
            </w:r>
            <w:r>
              <w:rPr>
                <w:b w:val="0"/>
                <w:sz w:val="15"/>
              </w:rPr>
              <w:t>FELC: Applying the Quality Matters Rubric</w:t>
            </w:r>
          </w:p>
        </w:tc>
        <w:tc>
          <w:tcPr>
            <w:tcW w:type="dxa" w:w="2448"/>
            <w:vAlign w:val="top"/>
          </w:tcPr>
          <w:p>
            <w:pPr>
              <w:spacing w:after="0" w:line="240" w:lineRule="auto"/>
            </w:pPr>
            <w:r>
              <w:rPr>
                <w:sz w:val="15"/>
              </w:rPr>
            </w:r>
            <w:r>
              <w:rPr>
                <w:b w:val="0"/>
                <w:sz w:val="15"/>
              </w:rPr>
              <w:t>Lone Star College System</w:t>
            </w:r>
          </w:p>
        </w:tc>
        <w:tc>
          <w:tcPr>
            <w:tcW w:type="dxa" w:w="1584"/>
            <w:vAlign w:val="top"/>
          </w:tcPr>
          <w:p>
            <w:pPr>
              <w:spacing w:after="0" w:line="240" w:lineRule="auto"/>
            </w:pPr>
            <w:r>
              <w:rPr>
                <w:sz w:val="15"/>
              </w:rPr>
            </w:r>
            <w:r>
              <w:rPr>
                <w:b w:val="0"/>
                <w:sz w:val="15"/>
              </w:rPr>
              <w:t>March 26, 2024</w:t>
            </w:r>
          </w:p>
        </w:tc>
        <w:tc>
          <w:tcPr>
            <w:tcW w:type="dxa" w:w="2736"/>
            <w:vAlign w:val="top"/>
          </w:tcPr>
          <w:p>
            <w:pPr>
              <w:spacing w:after="0" w:line="240" w:lineRule="auto"/>
            </w:pPr>
            <w:r>
              <w:rPr>
                <w:sz w:val="15"/>
              </w:rPr>
            </w:r>
            <w:r>
              <w:rPr>
                <w:b w:val="0"/>
                <w:sz w:val="15"/>
              </w:rPr>
              <w:t>Webinar; 5.0 hours.</w:t>
            </w:r>
          </w:p>
        </w:tc>
      </w:tr>
      <w:tr>
        <w:trPr>
          <w:cantSplit w:val="true"/>
        </w:trPr>
        <w:tc>
          <w:tcPr>
            <w:tcW w:type="dxa" w:w="3888"/>
            <w:vAlign w:val="top"/>
          </w:tcPr>
          <w:p>
            <w:pPr>
              <w:spacing w:after="0" w:line="240" w:lineRule="auto"/>
            </w:pPr>
            <w:r>
              <w:rPr>
                <w:sz w:val="15"/>
              </w:rPr>
            </w:r>
            <w:r>
              <w:rPr>
                <w:b w:val="0"/>
                <w:sz w:val="15"/>
              </w:rPr>
              <w:t>Improving Your Online Course (IYOC)</w:t>
            </w:r>
          </w:p>
        </w:tc>
        <w:tc>
          <w:tcPr>
            <w:tcW w:type="dxa" w:w="2448"/>
            <w:vAlign w:val="top"/>
          </w:tcPr>
          <w:p>
            <w:pPr>
              <w:spacing w:after="0" w:line="240" w:lineRule="auto"/>
            </w:pPr>
            <w:r>
              <w:rPr>
                <w:sz w:val="15"/>
              </w:rPr>
            </w:r>
            <w:r>
              <w:rPr>
                <w:b w:val="0"/>
                <w:sz w:val="15"/>
              </w:rPr>
              <w:t>Quality Matters</w:t>
            </w:r>
          </w:p>
        </w:tc>
        <w:tc>
          <w:tcPr>
            <w:tcW w:type="dxa" w:w="1584"/>
            <w:vAlign w:val="top"/>
          </w:tcPr>
          <w:p>
            <w:pPr>
              <w:spacing w:after="0" w:line="240" w:lineRule="auto"/>
            </w:pPr>
            <w:r>
              <w:rPr>
                <w:sz w:val="15"/>
              </w:rPr>
            </w:r>
            <w:r>
              <w:rPr>
                <w:b w:val="0"/>
                <w:sz w:val="15"/>
              </w:rPr>
              <w:t>March 2022 / March 2023</w:t>
            </w:r>
          </w:p>
        </w:tc>
        <w:tc>
          <w:tcPr>
            <w:tcW w:type="dxa" w:w="2736"/>
            <w:vAlign w:val="top"/>
          </w:tcPr>
          <w:p>
            <w:pPr>
              <w:spacing w:after="0" w:line="240" w:lineRule="auto"/>
            </w:pPr>
            <w:r>
              <w:rPr>
                <w:sz w:val="15"/>
              </w:rPr>
            </w:r>
            <w:r>
              <w:rPr>
                <w:b w:val="0"/>
                <w:sz w:val="15"/>
              </w:rPr>
              <w:t>Quality Matters online course improvement professional development; LinkedIn/Credly badge noted.</w:t>
            </w:r>
          </w:p>
        </w:tc>
      </w:tr>
      <w:tr>
        <w:trPr>
          <w:cantSplit w:val="true"/>
        </w:trPr>
        <w:tc>
          <w:tcPr>
            <w:tcW w:type="dxa" w:w="3888"/>
            <w:vAlign w:val="top"/>
          </w:tcPr>
          <w:p>
            <w:pPr>
              <w:spacing w:after="0" w:line="240" w:lineRule="auto"/>
            </w:pPr>
            <w:r>
              <w:rPr>
                <w:sz w:val="15"/>
              </w:rPr>
            </w:r>
            <w:r>
              <w:rPr>
                <w:b w:val="0"/>
                <w:sz w:val="15"/>
              </w:rPr>
              <w:t>Gauging Your Technology Skills (GYTS)</w:t>
            </w:r>
          </w:p>
        </w:tc>
        <w:tc>
          <w:tcPr>
            <w:tcW w:type="dxa" w:w="2448"/>
            <w:vAlign w:val="top"/>
          </w:tcPr>
          <w:p>
            <w:pPr>
              <w:spacing w:after="0" w:line="240" w:lineRule="auto"/>
            </w:pPr>
            <w:r>
              <w:rPr>
                <w:sz w:val="15"/>
              </w:rPr>
            </w:r>
            <w:r>
              <w:rPr>
                <w:b w:val="0"/>
                <w:sz w:val="15"/>
              </w:rPr>
              <w:t>Quality Matters</w:t>
            </w:r>
          </w:p>
        </w:tc>
        <w:tc>
          <w:tcPr>
            <w:tcW w:type="dxa" w:w="1584"/>
            <w:vAlign w:val="top"/>
          </w:tcPr>
          <w:p>
            <w:pPr>
              <w:spacing w:after="0" w:line="240" w:lineRule="auto"/>
            </w:pPr>
            <w:r>
              <w:rPr>
                <w:sz w:val="15"/>
              </w:rPr>
            </w:r>
            <w:r>
              <w:rPr>
                <w:b w:val="0"/>
                <w:sz w:val="15"/>
              </w:rPr>
              <w:t>March 2023</w:t>
            </w:r>
          </w:p>
        </w:tc>
        <w:tc>
          <w:tcPr>
            <w:tcW w:type="dxa" w:w="2736"/>
            <w:vAlign w:val="top"/>
          </w:tcPr>
          <w:p>
            <w:pPr>
              <w:spacing w:after="0" w:line="240" w:lineRule="auto"/>
            </w:pPr>
            <w:r>
              <w:rPr>
                <w:sz w:val="15"/>
              </w:rPr>
            </w:r>
            <w:r>
              <w:rPr>
                <w:b w:val="0"/>
                <w:sz w:val="15"/>
              </w:rPr>
              <w:t>Quality Matters professional development.</w:t>
            </w:r>
          </w:p>
        </w:tc>
      </w:tr>
      <w:tr>
        <w:trPr>
          <w:cantSplit w:val="true"/>
        </w:trPr>
        <w:tc>
          <w:tcPr>
            <w:tcW w:type="dxa" w:w="3888"/>
            <w:vAlign w:val="top"/>
          </w:tcPr>
          <w:p>
            <w:pPr>
              <w:spacing w:after="0" w:line="240" w:lineRule="auto"/>
            </w:pPr>
            <w:r>
              <w:rPr>
                <w:sz w:val="15"/>
              </w:rPr>
            </w:r>
            <w:r>
              <w:rPr>
                <w:b w:val="0"/>
                <w:sz w:val="15"/>
              </w:rPr>
              <w:t>Gamification Principles and Strategies</w:t>
            </w:r>
          </w:p>
        </w:tc>
        <w:tc>
          <w:tcPr>
            <w:tcW w:type="dxa" w:w="2448"/>
            <w:vAlign w:val="top"/>
          </w:tcPr>
          <w:p>
            <w:pPr>
              <w:spacing w:after="0" w:line="240" w:lineRule="auto"/>
            </w:pPr>
            <w:r>
              <w:rPr>
                <w:sz w:val="15"/>
              </w:rPr>
            </w:r>
            <w:r>
              <w:rPr>
                <w:b w:val="0"/>
                <w:sz w:val="15"/>
              </w:rPr>
              <w:t>Online Learning Consortium</w:t>
            </w:r>
          </w:p>
        </w:tc>
        <w:tc>
          <w:tcPr>
            <w:tcW w:type="dxa" w:w="1584"/>
            <w:vAlign w:val="top"/>
          </w:tcPr>
          <w:p>
            <w:pPr>
              <w:spacing w:after="0" w:line="240" w:lineRule="auto"/>
            </w:pPr>
            <w:r>
              <w:rPr>
                <w:sz w:val="15"/>
              </w:rPr>
            </w:r>
            <w:r>
              <w:rPr>
                <w:b w:val="0"/>
                <w:sz w:val="15"/>
              </w:rPr>
              <w:t>March 2023</w:t>
            </w:r>
          </w:p>
        </w:tc>
        <w:tc>
          <w:tcPr>
            <w:tcW w:type="dxa" w:w="2736"/>
            <w:vAlign w:val="top"/>
          </w:tcPr>
          <w:p>
            <w:pPr>
              <w:spacing w:after="0" w:line="240" w:lineRule="auto"/>
            </w:pPr>
            <w:r>
              <w:rPr>
                <w:sz w:val="15"/>
              </w:rPr>
            </w:r>
            <w:r>
              <w:rPr>
                <w:b w:val="0"/>
                <w:sz w:val="15"/>
              </w:rPr>
              <w:t>Online learning professional development.</w:t>
            </w:r>
          </w:p>
        </w:tc>
      </w:tr>
      <w:tr>
        <w:trPr>
          <w:cantSplit w:val="true"/>
        </w:trPr>
        <w:tc>
          <w:tcPr>
            <w:tcW w:type="dxa" w:w="3888"/>
            <w:vAlign w:val="top"/>
          </w:tcPr>
          <w:p>
            <w:pPr>
              <w:spacing w:after="0" w:line="240" w:lineRule="auto"/>
            </w:pPr>
            <w:r>
              <w:rPr>
                <w:sz w:val="15"/>
              </w:rPr>
            </w:r>
            <w:r>
              <w:rPr>
                <w:b w:val="0"/>
                <w:sz w:val="15"/>
              </w:rPr>
              <w:t>Online Teaching Certification</w:t>
            </w:r>
          </w:p>
        </w:tc>
        <w:tc>
          <w:tcPr>
            <w:tcW w:type="dxa" w:w="2448"/>
            <w:vAlign w:val="top"/>
          </w:tcPr>
          <w:p>
            <w:pPr>
              <w:spacing w:after="0" w:line="240" w:lineRule="auto"/>
            </w:pPr>
            <w:r>
              <w:rPr>
                <w:sz w:val="15"/>
              </w:rPr>
            </w:r>
            <w:r>
              <w:rPr>
                <w:b w:val="0"/>
                <w:sz w:val="15"/>
              </w:rPr>
              <w:t>Lone Star College System</w:t>
            </w:r>
          </w:p>
        </w:tc>
        <w:tc>
          <w:tcPr>
            <w:tcW w:type="dxa" w:w="1584"/>
            <w:vAlign w:val="top"/>
          </w:tcPr>
          <w:p>
            <w:pPr>
              <w:spacing w:after="0" w:line="240" w:lineRule="auto"/>
            </w:pPr>
            <w:r>
              <w:rPr>
                <w:sz w:val="15"/>
              </w:rPr>
            </w:r>
            <w:r>
              <w:rPr>
                <w:b w:val="0"/>
                <w:sz w:val="15"/>
              </w:rPr>
              <w:t>March 3, 2020</w:t>
            </w:r>
          </w:p>
        </w:tc>
        <w:tc>
          <w:tcPr>
            <w:tcW w:type="dxa" w:w="2736"/>
            <w:vAlign w:val="top"/>
          </w:tcPr>
          <w:p>
            <w:pPr>
              <w:spacing w:after="0" w:line="240" w:lineRule="auto"/>
            </w:pPr>
            <w:r>
              <w:rPr>
                <w:sz w:val="15"/>
              </w:rPr>
            </w:r>
            <w:r>
              <w:rPr>
                <w:b w:val="0"/>
                <w:sz w:val="15"/>
              </w:rPr>
              <w:t>OTC: Full Online Teaching Certification.</w:t>
            </w:r>
          </w:p>
        </w:tc>
      </w:tr>
      <w:tr>
        <w:trPr>
          <w:cantSplit w:val="true"/>
        </w:trPr>
        <w:tc>
          <w:tcPr>
            <w:tcW w:type="dxa" w:w="3888"/>
            <w:vAlign w:val="top"/>
          </w:tcPr>
          <w:p>
            <w:pPr>
              <w:spacing w:after="0" w:line="240" w:lineRule="auto"/>
            </w:pPr>
            <w:r>
              <w:rPr>
                <w:sz w:val="15"/>
              </w:rPr>
            </w:r>
            <w:r>
              <w:rPr>
                <w:b w:val="0"/>
                <w:sz w:val="15"/>
              </w:rPr>
              <w:t>Online Teaching Certification Quick On-Boarding</w:t>
            </w:r>
          </w:p>
        </w:tc>
        <w:tc>
          <w:tcPr>
            <w:tcW w:type="dxa" w:w="2448"/>
            <w:vAlign w:val="top"/>
          </w:tcPr>
          <w:p>
            <w:pPr>
              <w:spacing w:after="0" w:line="240" w:lineRule="auto"/>
            </w:pPr>
            <w:r>
              <w:rPr>
                <w:sz w:val="15"/>
              </w:rPr>
            </w:r>
            <w:r>
              <w:rPr>
                <w:b w:val="0"/>
                <w:sz w:val="15"/>
              </w:rPr>
              <w:t>Lone Star College System</w:t>
            </w:r>
          </w:p>
        </w:tc>
        <w:tc>
          <w:tcPr>
            <w:tcW w:type="dxa" w:w="1584"/>
            <w:vAlign w:val="top"/>
          </w:tcPr>
          <w:p>
            <w:pPr>
              <w:spacing w:after="0" w:line="240" w:lineRule="auto"/>
            </w:pPr>
            <w:r>
              <w:rPr>
                <w:sz w:val="15"/>
              </w:rPr>
            </w:r>
            <w:r>
              <w:rPr>
                <w:b w:val="0"/>
                <w:sz w:val="15"/>
              </w:rPr>
              <w:t>March 3, 2020</w:t>
            </w:r>
          </w:p>
        </w:tc>
        <w:tc>
          <w:tcPr>
            <w:tcW w:type="dxa" w:w="2736"/>
            <w:vAlign w:val="top"/>
          </w:tcPr>
          <w:p>
            <w:pPr>
              <w:spacing w:after="0" w:line="240" w:lineRule="auto"/>
            </w:pPr>
            <w:r>
              <w:rPr>
                <w:sz w:val="15"/>
              </w:rPr>
            </w:r>
            <w:r>
              <w:rPr>
                <w:b w:val="0"/>
                <w:sz w:val="15"/>
              </w:rPr>
              <w:t>OTC quick on-boarding.</w:t>
            </w:r>
          </w:p>
        </w:tc>
      </w:tr>
      <w:tr>
        <w:trPr>
          <w:cantSplit w:val="true"/>
        </w:trPr>
        <w:tc>
          <w:tcPr>
            <w:tcW w:type="dxa" w:w="3888"/>
            <w:vAlign w:val="top"/>
          </w:tcPr>
          <w:p>
            <w:pPr>
              <w:spacing w:after="0" w:line="240" w:lineRule="auto"/>
            </w:pPr>
            <w:r>
              <w:rPr>
                <w:sz w:val="15"/>
              </w:rPr>
            </w:r>
            <w:r>
              <w:rPr>
                <w:b w:val="0"/>
                <w:sz w:val="15"/>
              </w:rPr>
              <w:t>D2L Brightspace</w:t>
            </w:r>
          </w:p>
        </w:tc>
        <w:tc>
          <w:tcPr>
            <w:tcW w:type="dxa" w:w="2448"/>
            <w:vAlign w:val="top"/>
          </w:tcPr>
          <w:p>
            <w:pPr>
              <w:spacing w:after="0" w:line="240" w:lineRule="auto"/>
            </w:pPr>
            <w:r>
              <w:rPr>
                <w:sz w:val="15"/>
              </w:rPr>
            </w:r>
            <w:r>
              <w:rPr>
                <w:b w:val="0"/>
                <w:sz w:val="15"/>
              </w:rPr>
              <w:t>Lone Star College System</w:t>
            </w:r>
          </w:p>
        </w:tc>
        <w:tc>
          <w:tcPr>
            <w:tcW w:type="dxa" w:w="1584"/>
            <w:vAlign w:val="top"/>
          </w:tcPr>
          <w:p>
            <w:pPr>
              <w:spacing w:after="0" w:line="240" w:lineRule="auto"/>
            </w:pPr>
            <w:r>
              <w:rPr>
                <w:sz w:val="15"/>
              </w:rPr>
            </w:r>
            <w:r>
              <w:rPr>
                <w:b w:val="0"/>
                <w:sz w:val="15"/>
              </w:rPr>
              <w:t>Date TBD</w:t>
            </w:r>
          </w:p>
        </w:tc>
        <w:tc>
          <w:tcPr>
            <w:tcW w:type="dxa" w:w="2736"/>
            <w:vAlign w:val="top"/>
          </w:tcPr>
          <w:p>
            <w:pPr>
              <w:spacing w:after="0" w:line="240" w:lineRule="auto"/>
            </w:pPr>
            <w:r>
              <w:rPr>
                <w:sz w:val="15"/>
              </w:rPr>
            </w:r>
            <w:r>
              <w:rPr>
                <w:b w:val="0"/>
                <w:sz w:val="15"/>
              </w:rPr>
              <w:t>Certified / trained for Lone Star College LMS delivery.</w:t>
            </w:r>
          </w:p>
        </w:tc>
      </w:tr>
      <w:tr>
        <w:trPr>
          <w:cantSplit w:val="true"/>
        </w:trPr>
        <w:tc>
          <w:tcPr>
            <w:tcW w:type="dxa" w:w="3888"/>
            <w:vAlign w:val="top"/>
          </w:tcPr>
          <w:p>
            <w:pPr>
              <w:spacing w:after="0" w:line="240" w:lineRule="auto"/>
            </w:pPr>
            <w:r>
              <w:rPr>
                <w:sz w:val="15"/>
              </w:rPr>
            </w:r>
            <w:r>
              <w:rPr>
                <w:b w:val="0"/>
                <w:sz w:val="15"/>
              </w:rPr>
              <w:t>TL1611 Eagle Online for Canvas</w:t>
            </w:r>
          </w:p>
        </w:tc>
        <w:tc>
          <w:tcPr>
            <w:tcW w:type="dxa" w:w="2448"/>
            <w:vAlign w:val="top"/>
          </w:tcPr>
          <w:p>
            <w:pPr>
              <w:spacing w:after="0" w:line="240" w:lineRule="auto"/>
            </w:pPr>
            <w:r>
              <w:rPr>
                <w:sz w:val="15"/>
              </w:rPr>
            </w:r>
            <w:r>
              <w:rPr>
                <w:b w:val="0"/>
                <w:sz w:val="15"/>
              </w:rPr>
              <w:t>Institute for Instructional Engagement</w:t>
            </w:r>
          </w:p>
        </w:tc>
        <w:tc>
          <w:tcPr>
            <w:tcW w:type="dxa" w:w="1584"/>
            <w:vAlign w:val="top"/>
          </w:tcPr>
          <w:p>
            <w:pPr>
              <w:spacing w:after="0" w:line="240" w:lineRule="auto"/>
            </w:pPr>
            <w:r>
              <w:rPr>
                <w:sz w:val="15"/>
              </w:rPr>
            </w:r>
            <w:r>
              <w:rPr>
                <w:b w:val="0"/>
                <w:sz w:val="15"/>
              </w:rPr>
              <w:t>April 2020</w:t>
            </w:r>
          </w:p>
        </w:tc>
        <w:tc>
          <w:tcPr>
            <w:tcW w:type="dxa" w:w="2736"/>
            <w:vAlign w:val="top"/>
          </w:tcPr>
          <w:p>
            <w:pPr>
              <w:spacing w:after="0" w:line="240" w:lineRule="auto"/>
            </w:pPr>
            <w:r>
              <w:rPr>
                <w:sz w:val="15"/>
              </w:rPr>
            </w:r>
            <w:r>
              <w:rPr>
                <w:b w:val="0"/>
                <w:sz w:val="15"/>
              </w:rPr>
              <w:t>Canvas-related online teaching certification.</w:t>
            </w:r>
          </w:p>
        </w:tc>
      </w:tr>
      <w:tr>
        <w:trPr>
          <w:cantSplit w:val="true"/>
        </w:trPr>
        <w:tc>
          <w:tcPr>
            <w:tcW w:type="dxa" w:w="3888"/>
            <w:vAlign w:val="top"/>
          </w:tcPr>
          <w:p>
            <w:pPr>
              <w:spacing w:after="0" w:line="240" w:lineRule="auto"/>
            </w:pPr>
            <w:r>
              <w:rPr>
                <w:sz w:val="15"/>
              </w:rPr>
            </w:r>
            <w:r>
              <w:rPr>
                <w:b w:val="0"/>
                <w:sz w:val="15"/>
              </w:rPr>
              <w:t>TL1620 Online Learning Certificate</w:t>
            </w:r>
          </w:p>
        </w:tc>
        <w:tc>
          <w:tcPr>
            <w:tcW w:type="dxa" w:w="2448"/>
            <w:vAlign w:val="top"/>
          </w:tcPr>
          <w:p>
            <w:pPr>
              <w:spacing w:after="0" w:line="240" w:lineRule="auto"/>
            </w:pPr>
            <w:r>
              <w:rPr>
                <w:sz w:val="15"/>
              </w:rPr>
            </w:r>
            <w:r>
              <w:rPr>
                <w:b w:val="0"/>
                <w:sz w:val="15"/>
              </w:rPr>
              <w:t>Institute for Instructional Engagement and Development</w:t>
            </w:r>
          </w:p>
        </w:tc>
        <w:tc>
          <w:tcPr>
            <w:tcW w:type="dxa" w:w="1584"/>
            <w:vAlign w:val="top"/>
          </w:tcPr>
          <w:p>
            <w:pPr>
              <w:spacing w:after="0" w:line="240" w:lineRule="auto"/>
            </w:pPr>
            <w:r>
              <w:rPr>
                <w:sz w:val="15"/>
              </w:rPr>
            </w:r>
            <w:r>
              <w:rPr>
                <w:b w:val="0"/>
                <w:sz w:val="15"/>
              </w:rPr>
              <w:t>May 2020</w:t>
            </w:r>
          </w:p>
        </w:tc>
        <w:tc>
          <w:tcPr>
            <w:tcW w:type="dxa" w:w="2736"/>
            <w:vAlign w:val="top"/>
          </w:tcPr>
          <w:p>
            <w:pPr>
              <w:spacing w:after="0" w:line="240" w:lineRule="auto"/>
            </w:pPr>
            <w:r>
              <w:rPr>
                <w:sz w:val="15"/>
              </w:rPr>
            </w:r>
            <w:r>
              <w:rPr>
                <w:b w:val="0"/>
                <w:sz w:val="15"/>
              </w:rPr>
              <w:t>Online learning professional development.</w:t>
            </w:r>
          </w:p>
        </w:tc>
      </w:tr>
    </w:tbl>
    <w:p>
      <w:pPr>
        <w:pStyle w:val="Heading1"/>
        <w:pBdr>
          <w:bottom w:val="single" w:sz="6" w:space="1" w:color="7F7F7F"/>
        </w:pBdr>
      </w:pPr>
      <w:r>
        <w:t>Additional Teaching &amp; Instructional Development</w:t>
      </w:r>
    </w:p>
    <w:tbl>
      <w:tblPr>
        <w:tblStyle w:val="TableGrid"/>
        <w:tblW w:type="auto" w:w="0"/>
        <w:jc w:val="center"/>
        <w:tblLayout w:type="autofit"/>
        <w:tblLook w:firstColumn="1" w:firstRow="1" w:lastColumn="0" w:lastRow="0" w:noHBand="0" w:noVBand="1" w:val="04A0"/>
      </w:tblPr>
      <w:tblGrid>
        <w:gridCol w:w="3456"/>
        <w:gridCol w:w="3456"/>
        <w:gridCol w:w="3456"/>
      </w:tblGrid>
      <w:tr>
        <w:trPr>
          <w:tblHeader w:val="true"/>
          <w:cantSplit w:val="true"/>
        </w:trPr>
        <w:tc>
          <w:tcPr>
            <w:tcW w:type="dxa" w:w="4608"/>
            <w:shd w:fill="D9EAF7"/>
          </w:tcPr>
          <w:p>
            <w:pPr>
              <w:spacing w:after="0" w:line="240" w:lineRule="auto"/>
            </w:pPr>
            <w:r>
              <w:rPr>
                <w:sz w:val="15"/>
              </w:rPr>
            </w:r>
            <w:r>
              <w:rPr>
                <w:b/>
                <w:sz w:val="15"/>
              </w:rPr>
              <w:t>Course / Credential</w:t>
            </w:r>
          </w:p>
        </w:tc>
        <w:tc>
          <w:tcPr>
            <w:tcW w:type="dxa" w:w="3600"/>
            <w:shd w:fill="D9EAF7"/>
          </w:tcPr>
          <w:p>
            <w:pPr>
              <w:spacing w:after="0" w:line="240" w:lineRule="auto"/>
            </w:pPr>
            <w:r>
              <w:rPr>
                <w:sz w:val="15"/>
              </w:rPr>
            </w:r>
            <w:r>
              <w:rPr>
                <w:b/>
                <w:sz w:val="15"/>
              </w:rPr>
              <w:t>Issuer</w:t>
            </w:r>
          </w:p>
        </w:tc>
        <w:tc>
          <w:tcPr>
            <w:tcW w:type="dxa" w:w="2160"/>
            <w:shd w:fill="D9EAF7"/>
          </w:tcPr>
          <w:p>
            <w:pPr>
              <w:spacing w:after="0" w:line="240" w:lineRule="auto"/>
            </w:pPr>
            <w:r>
              <w:rPr>
                <w:sz w:val="15"/>
              </w:rPr>
            </w:r>
            <w:r>
              <w:rPr>
                <w:b/>
                <w:sz w:val="15"/>
              </w:rPr>
              <w:t>Date</w:t>
            </w:r>
          </w:p>
        </w:tc>
      </w:tr>
      <w:tr>
        <w:trPr>
          <w:cantSplit w:val="true"/>
        </w:trPr>
        <w:tc>
          <w:tcPr>
            <w:tcW w:type="dxa" w:w="4608"/>
            <w:vAlign w:val="top"/>
          </w:tcPr>
          <w:p>
            <w:pPr>
              <w:spacing w:after="0" w:line="240" w:lineRule="auto"/>
            </w:pPr>
            <w:r>
              <w:rPr>
                <w:sz w:val="15"/>
              </w:rPr>
            </w:r>
            <w:r>
              <w:rPr>
                <w:b w:val="0"/>
                <w:sz w:val="15"/>
              </w:rPr>
              <w:t>TL1000 Learning-Centered Instructional Design</w:t>
            </w:r>
          </w:p>
        </w:tc>
        <w:tc>
          <w:tcPr>
            <w:tcW w:type="dxa" w:w="3600"/>
            <w:vAlign w:val="top"/>
          </w:tcPr>
          <w:p>
            <w:pPr>
              <w:spacing w:after="0" w:line="240" w:lineRule="auto"/>
            </w:pPr>
            <w:r>
              <w:rPr>
                <w:sz w:val="15"/>
              </w:rPr>
            </w:r>
            <w:r>
              <w:rPr>
                <w:b w:val="0"/>
                <w:sz w:val="15"/>
              </w:rPr>
              <w:t>HCC Center for Teaching and Learning Excellence</w:t>
            </w:r>
          </w:p>
        </w:tc>
        <w:tc>
          <w:tcPr>
            <w:tcW w:type="dxa" w:w="2160"/>
            <w:vAlign w:val="top"/>
          </w:tcPr>
          <w:p>
            <w:pPr>
              <w:spacing w:after="0" w:line="240" w:lineRule="auto"/>
            </w:pPr>
            <w:r>
              <w:rPr>
                <w:sz w:val="15"/>
              </w:rPr>
            </w:r>
            <w:r>
              <w:rPr>
                <w:b w:val="0"/>
                <w:sz w:val="15"/>
              </w:rPr>
              <w:t>April 2020</w:t>
            </w:r>
          </w:p>
        </w:tc>
      </w:tr>
      <w:tr>
        <w:trPr>
          <w:cantSplit w:val="true"/>
        </w:trPr>
        <w:tc>
          <w:tcPr>
            <w:tcW w:type="dxa" w:w="4608"/>
            <w:vAlign w:val="top"/>
          </w:tcPr>
          <w:p>
            <w:pPr>
              <w:spacing w:after="0" w:line="240" w:lineRule="auto"/>
            </w:pPr>
            <w:r>
              <w:rPr>
                <w:sz w:val="15"/>
              </w:rPr>
            </w:r>
            <w:r>
              <w:rPr>
                <w:b w:val="0"/>
                <w:sz w:val="15"/>
              </w:rPr>
              <w:t>TL1000 Learner-Centered Design</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December 2014</w:t>
            </w:r>
          </w:p>
        </w:tc>
      </w:tr>
      <w:tr>
        <w:trPr>
          <w:cantSplit w:val="true"/>
        </w:trPr>
        <w:tc>
          <w:tcPr>
            <w:tcW w:type="dxa" w:w="4608"/>
            <w:vAlign w:val="top"/>
          </w:tcPr>
          <w:p>
            <w:pPr>
              <w:spacing w:after="0" w:line="240" w:lineRule="auto"/>
            </w:pPr>
            <w:r>
              <w:rPr>
                <w:sz w:val="15"/>
              </w:rPr>
            </w:r>
            <w:r>
              <w:rPr>
                <w:b w:val="0"/>
                <w:sz w:val="15"/>
              </w:rPr>
              <w:t>TL1600 Eagle Online 2 Certification</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November 2014</w:t>
            </w:r>
          </w:p>
        </w:tc>
      </w:tr>
      <w:tr>
        <w:trPr>
          <w:cantSplit w:val="true"/>
        </w:trPr>
        <w:tc>
          <w:tcPr>
            <w:tcW w:type="dxa" w:w="4608"/>
            <w:vAlign w:val="top"/>
          </w:tcPr>
          <w:p>
            <w:pPr>
              <w:spacing w:after="0" w:line="240" w:lineRule="auto"/>
            </w:pPr>
            <w:r>
              <w:rPr>
                <w:sz w:val="15"/>
              </w:rPr>
            </w:r>
            <w:r>
              <w:rPr>
                <w:b w:val="0"/>
                <w:sz w:val="15"/>
              </w:rPr>
              <w:t>TL1700 Copyright Literacy in the Academic Environment</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December 2014</w:t>
            </w:r>
          </w:p>
        </w:tc>
      </w:tr>
      <w:tr>
        <w:trPr>
          <w:cantSplit w:val="true"/>
        </w:trPr>
        <w:tc>
          <w:tcPr>
            <w:tcW w:type="dxa" w:w="4608"/>
            <w:vAlign w:val="top"/>
          </w:tcPr>
          <w:p>
            <w:pPr>
              <w:spacing w:after="0" w:line="240" w:lineRule="auto"/>
            </w:pPr>
            <w:r>
              <w:rPr>
                <w:sz w:val="15"/>
              </w:rPr>
            </w:r>
            <w:r>
              <w:rPr>
                <w:b w:val="0"/>
                <w:sz w:val="15"/>
              </w:rPr>
              <w:t>TL1800 Discovering and Integrating Library Services</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December 2014</w:t>
            </w:r>
          </w:p>
        </w:tc>
      </w:tr>
      <w:tr>
        <w:trPr>
          <w:cantSplit w:val="true"/>
        </w:trPr>
        <w:tc>
          <w:tcPr>
            <w:tcW w:type="dxa" w:w="4608"/>
            <w:vAlign w:val="top"/>
          </w:tcPr>
          <w:p>
            <w:pPr>
              <w:spacing w:after="0" w:line="240" w:lineRule="auto"/>
            </w:pPr>
            <w:r>
              <w:rPr>
                <w:sz w:val="15"/>
              </w:rPr>
            </w:r>
            <w:r>
              <w:rPr>
                <w:b w:val="0"/>
                <w:sz w:val="15"/>
              </w:rPr>
              <w:t>TL1900 Orientation to Distance Education</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November 2014</w:t>
            </w:r>
          </w:p>
        </w:tc>
      </w:tr>
      <w:tr>
        <w:trPr>
          <w:cantSplit w:val="true"/>
        </w:trPr>
        <w:tc>
          <w:tcPr>
            <w:tcW w:type="dxa" w:w="4608"/>
            <w:vAlign w:val="top"/>
          </w:tcPr>
          <w:p>
            <w:pPr>
              <w:spacing w:after="0" w:line="240" w:lineRule="auto"/>
            </w:pPr>
            <w:r>
              <w:rPr>
                <w:sz w:val="15"/>
              </w:rPr>
            </w:r>
            <w:r>
              <w:rPr>
                <w:b w:val="0"/>
                <w:sz w:val="15"/>
              </w:rPr>
              <w:t>TL1900 Orientation to Distance Learning</w:t>
            </w:r>
          </w:p>
        </w:tc>
        <w:tc>
          <w:tcPr>
            <w:tcW w:type="dxa" w:w="3600"/>
            <w:vAlign w:val="top"/>
          </w:tcPr>
          <w:p>
            <w:pPr>
              <w:spacing w:after="0" w:line="240" w:lineRule="auto"/>
            </w:pPr>
            <w:r>
              <w:rPr>
                <w:sz w:val="15"/>
              </w:rPr>
            </w:r>
            <w:r>
              <w:rPr>
                <w:b w:val="0"/>
                <w:sz w:val="15"/>
              </w:rPr>
              <w:t>HCC Center for Teaching and Learning Excellence</w:t>
            </w:r>
          </w:p>
        </w:tc>
        <w:tc>
          <w:tcPr>
            <w:tcW w:type="dxa" w:w="2160"/>
            <w:vAlign w:val="top"/>
          </w:tcPr>
          <w:p>
            <w:pPr>
              <w:spacing w:after="0" w:line="240" w:lineRule="auto"/>
            </w:pPr>
            <w:r>
              <w:rPr>
                <w:sz w:val="15"/>
              </w:rPr>
            </w:r>
            <w:r>
              <w:rPr>
                <w:b w:val="0"/>
                <w:sz w:val="15"/>
              </w:rPr>
              <w:t>April 2020</w:t>
            </w:r>
          </w:p>
        </w:tc>
      </w:tr>
      <w:tr>
        <w:trPr>
          <w:cantSplit w:val="true"/>
        </w:trPr>
        <w:tc>
          <w:tcPr>
            <w:tcW w:type="dxa" w:w="4608"/>
            <w:vAlign w:val="top"/>
          </w:tcPr>
          <w:p>
            <w:pPr>
              <w:spacing w:after="0" w:line="240" w:lineRule="auto"/>
            </w:pPr>
            <w:r>
              <w:rPr>
                <w:sz w:val="15"/>
              </w:rPr>
            </w:r>
            <w:r>
              <w:rPr>
                <w:b w:val="0"/>
                <w:sz w:val="15"/>
              </w:rPr>
              <w:t>TL2075 Improve Student Learning Through Active Engagement</w:t>
            </w:r>
          </w:p>
        </w:tc>
        <w:tc>
          <w:tcPr>
            <w:tcW w:type="dxa" w:w="3600"/>
            <w:vAlign w:val="top"/>
          </w:tcPr>
          <w:p>
            <w:pPr>
              <w:spacing w:after="0" w:line="240" w:lineRule="auto"/>
            </w:pPr>
            <w:r>
              <w:rPr>
                <w:sz w:val="15"/>
              </w:rPr>
            </w:r>
            <w:r>
              <w:rPr>
                <w:b w:val="0"/>
                <w:sz w:val="15"/>
              </w:rPr>
              <w:t>Institute for Instructional Engagement and Development</w:t>
            </w:r>
          </w:p>
        </w:tc>
        <w:tc>
          <w:tcPr>
            <w:tcW w:type="dxa" w:w="2160"/>
            <w:vAlign w:val="top"/>
          </w:tcPr>
          <w:p>
            <w:pPr>
              <w:spacing w:after="0" w:line="240" w:lineRule="auto"/>
            </w:pPr>
            <w:r>
              <w:rPr>
                <w:sz w:val="15"/>
              </w:rPr>
            </w:r>
            <w:r>
              <w:rPr>
                <w:b w:val="0"/>
                <w:sz w:val="15"/>
              </w:rPr>
              <w:t>December 2014</w:t>
            </w:r>
          </w:p>
        </w:tc>
      </w:tr>
      <w:tr>
        <w:trPr>
          <w:cantSplit w:val="true"/>
        </w:trPr>
        <w:tc>
          <w:tcPr>
            <w:tcW w:type="dxa" w:w="4608"/>
            <w:vAlign w:val="top"/>
          </w:tcPr>
          <w:p>
            <w:pPr>
              <w:spacing w:after="0" w:line="240" w:lineRule="auto"/>
            </w:pPr>
            <w:r>
              <w:rPr>
                <w:sz w:val="15"/>
              </w:rPr>
            </w:r>
            <w:r>
              <w:rPr>
                <w:b w:val="0"/>
                <w:sz w:val="15"/>
              </w:rPr>
              <w:t>TL2075 Improving Student Learning Through Active Engagement</w:t>
            </w:r>
          </w:p>
        </w:tc>
        <w:tc>
          <w:tcPr>
            <w:tcW w:type="dxa" w:w="3600"/>
            <w:vAlign w:val="top"/>
          </w:tcPr>
          <w:p>
            <w:pPr>
              <w:spacing w:after="0" w:line="240" w:lineRule="auto"/>
            </w:pPr>
            <w:r>
              <w:rPr>
                <w:sz w:val="15"/>
              </w:rPr>
            </w:r>
            <w:r>
              <w:rPr>
                <w:b w:val="0"/>
                <w:sz w:val="15"/>
              </w:rPr>
              <w:t>HCC Center for Teaching and Learning Excellence</w:t>
            </w:r>
          </w:p>
        </w:tc>
        <w:tc>
          <w:tcPr>
            <w:tcW w:type="dxa" w:w="2160"/>
            <w:vAlign w:val="top"/>
          </w:tcPr>
          <w:p>
            <w:pPr>
              <w:spacing w:after="0" w:line="240" w:lineRule="auto"/>
            </w:pPr>
            <w:r>
              <w:rPr>
                <w:sz w:val="15"/>
              </w:rPr>
            </w:r>
            <w:r>
              <w:rPr>
                <w:b w:val="0"/>
                <w:sz w:val="15"/>
              </w:rPr>
              <w:t>April 2020</w:t>
            </w:r>
          </w:p>
        </w:tc>
      </w:tr>
    </w:tbl>
    <w:p>
      <w:pPr>
        <w:pStyle w:val="Heading1"/>
        <w:pBdr>
          <w:bottom w:val="single" w:sz="6" w:space="1" w:color="7F7F7F"/>
        </w:pBdr>
      </w:pPr>
      <w:r>
        <w:t>Lone Star College Learning &amp; Compliance Record</w:t>
      </w:r>
    </w:p>
    <w:tbl>
      <w:tblPr>
        <w:tblStyle w:val="TableGrid"/>
        <w:tblW w:type="auto" w:w="0"/>
        <w:jc w:val="center"/>
        <w:tblLayout w:type="autofit"/>
        <w:tblLook w:firstColumn="1" w:firstRow="1" w:lastColumn="0" w:lastRow="0" w:noHBand="0" w:noVBand="1" w:val="04A0"/>
      </w:tblPr>
      <w:tblGrid>
        <w:gridCol w:w="2592"/>
        <w:gridCol w:w="2592"/>
        <w:gridCol w:w="2592"/>
        <w:gridCol w:w="2592"/>
      </w:tblGrid>
      <w:tr>
        <w:trPr>
          <w:tblHeader w:val="true"/>
          <w:cantSplit w:val="true"/>
        </w:trPr>
        <w:tc>
          <w:tcPr>
            <w:tcW w:type="dxa" w:w="4464"/>
            <w:shd w:fill="D9EAF7"/>
          </w:tcPr>
          <w:p>
            <w:pPr>
              <w:spacing w:after="0" w:line="240" w:lineRule="auto"/>
            </w:pPr>
            <w:r>
              <w:rPr>
                <w:sz w:val="14"/>
              </w:rPr>
            </w:r>
            <w:r>
              <w:rPr>
                <w:b/>
                <w:sz w:val="14"/>
              </w:rPr>
              <w:t>Training</w:t>
            </w:r>
          </w:p>
        </w:tc>
        <w:tc>
          <w:tcPr>
            <w:tcW w:type="dxa" w:w="2304"/>
            <w:shd w:fill="D9EAF7"/>
          </w:tcPr>
          <w:p>
            <w:pPr>
              <w:spacing w:after="0" w:line="240" w:lineRule="auto"/>
            </w:pPr>
            <w:r>
              <w:rPr>
                <w:sz w:val="14"/>
              </w:rPr>
            </w:r>
            <w:r>
              <w:rPr>
                <w:b/>
                <w:sz w:val="14"/>
              </w:rPr>
              <w:t>Type / Issuer</w:t>
            </w:r>
          </w:p>
        </w:tc>
        <w:tc>
          <w:tcPr>
            <w:tcW w:type="dxa" w:w="2448"/>
            <w:shd w:fill="D9EAF7"/>
          </w:tcPr>
          <w:p>
            <w:pPr>
              <w:spacing w:after="0" w:line="240" w:lineRule="auto"/>
            </w:pPr>
            <w:r>
              <w:rPr>
                <w:sz w:val="14"/>
              </w:rPr>
            </w:r>
            <w:r>
              <w:rPr>
                <w:b/>
                <w:sz w:val="14"/>
              </w:rPr>
              <w:t>Date</w:t>
            </w:r>
          </w:p>
        </w:tc>
        <w:tc>
          <w:tcPr>
            <w:tcW w:type="dxa" w:w="1872"/>
            <w:shd w:fill="D9EAF7"/>
          </w:tcPr>
          <w:p>
            <w:pPr>
              <w:spacing w:after="0" w:line="240" w:lineRule="auto"/>
            </w:pPr>
            <w:r>
              <w:rPr>
                <w:sz w:val="14"/>
              </w:rPr>
            </w:r>
            <w:r>
              <w:rPr>
                <w:b/>
                <w:sz w:val="14"/>
              </w:rPr>
              <w:t>Hours / Notes</w:t>
            </w:r>
          </w:p>
        </w:tc>
      </w:tr>
      <w:tr>
        <w:trPr>
          <w:cantSplit w:val="true"/>
        </w:trPr>
        <w:tc>
          <w:tcPr>
            <w:tcW w:type="dxa" w:w="4464"/>
            <w:vAlign w:val="top"/>
          </w:tcPr>
          <w:p>
            <w:pPr>
              <w:spacing w:after="0" w:line="240" w:lineRule="auto"/>
            </w:pPr>
            <w:r>
              <w:rPr>
                <w:sz w:val="14"/>
              </w:rPr>
            </w:r>
            <w:r>
              <w:rPr>
                <w:b w:val="0"/>
                <w:sz w:val="14"/>
              </w:rPr>
              <w:t>Fall 2024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April 29, 2025</w:t>
            </w:r>
          </w:p>
        </w:tc>
        <w:tc>
          <w:tcPr>
            <w:tcW w:type="dxa" w:w="1872"/>
            <w:vAlign w:val="top"/>
          </w:tcPr>
          <w:p>
            <w:pPr>
              <w:spacing w:after="0" w:line="240" w:lineRule="auto"/>
            </w:pPr>
            <w:r>
              <w:rPr>
                <w:sz w:val="14"/>
              </w:rPr>
            </w:r>
            <w:r>
              <w:rPr>
                <w:b w:val="0"/>
                <w:sz w:val="14"/>
              </w:rPr>
              <w:t>4.0</w:t>
            </w:r>
          </w:p>
        </w:tc>
      </w:tr>
      <w:tr>
        <w:trPr>
          <w:cantSplit w:val="true"/>
        </w:trPr>
        <w:tc>
          <w:tcPr>
            <w:tcW w:type="dxa" w:w="4464"/>
            <w:vAlign w:val="top"/>
          </w:tcPr>
          <w:p>
            <w:pPr>
              <w:spacing w:after="0" w:line="240" w:lineRule="auto"/>
            </w:pPr>
            <w:r>
              <w:rPr>
                <w:sz w:val="14"/>
              </w:rPr>
            </w:r>
            <w:r>
              <w:rPr>
                <w:b w:val="0"/>
                <w:sz w:val="14"/>
              </w:rPr>
              <w:t>Fall 2023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April 19, 2024</w:t>
            </w:r>
          </w:p>
        </w:tc>
        <w:tc>
          <w:tcPr>
            <w:tcW w:type="dxa" w:w="1872"/>
            <w:vAlign w:val="top"/>
          </w:tcPr>
          <w:p>
            <w:pPr>
              <w:spacing w:after="0" w:line="240" w:lineRule="auto"/>
            </w:pPr>
            <w:r>
              <w:rPr>
                <w:sz w:val="14"/>
              </w:rPr>
            </w:r>
            <w:r>
              <w:rPr>
                <w:b w:val="0"/>
                <w:sz w:val="14"/>
              </w:rPr>
              <w:t>5.0</w:t>
            </w:r>
          </w:p>
        </w:tc>
      </w:tr>
      <w:tr>
        <w:trPr>
          <w:cantSplit w:val="true"/>
        </w:trPr>
        <w:tc>
          <w:tcPr>
            <w:tcW w:type="dxa" w:w="4464"/>
            <w:vAlign w:val="top"/>
          </w:tcPr>
          <w:p>
            <w:pPr>
              <w:spacing w:after="0" w:line="240" w:lineRule="auto"/>
            </w:pPr>
            <w:r>
              <w:rPr>
                <w:sz w:val="14"/>
              </w:rPr>
            </w:r>
            <w:r>
              <w:rPr>
                <w:b w:val="0"/>
                <w:sz w:val="14"/>
              </w:rPr>
              <w:t>Fall 2022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April 10, 2023</w:t>
            </w:r>
          </w:p>
        </w:tc>
        <w:tc>
          <w:tcPr>
            <w:tcW w:type="dxa" w:w="1872"/>
            <w:vAlign w:val="top"/>
          </w:tcPr>
          <w:p>
            <w:pPr>
              <w:spacing w:after="0" w:line="240" w:lineRule="auto"/>
            </w:pPr>
            <w:r>
              <w:rPr>
                <w:sz w:val="14"/>
              </w:rPr>
            </w:r>
            <w:r>
              <w:rPr>
                <w:b w:val="0"/>
                <w:sz w:val="14"/>
              </w:rPr>
              <w:t>4.0</w:t>
            </w:r>
          </w:p>
        </w:tc>
      </w:tr>
      <w:tr>
        <w:trPr>
          <w:cantSplit w:val="true"/>
        </w:trPr>
        <w:tc>
          <w:tcPr>
            <w:tcW w:type="dxa" w:w="4464"/>
            <w:vAlign w:val="top"/>
          </w:tcPr>
          <w:p>
            <w:pPr>
              <w:spacing w:after="0" w:line="240" w:lineRule="auto"/>
            </w:pPr>
            <w:r>
              <w:rPr>
                <w:sz w:val="14"/>
              </w:rPr>
            </w:r>
            <w:r>
              <w:rPr>
                <w:b w:val="0"/>
                <w:sz w:val="14"/>
              </w:rPr>
              <w:t>Fall 2021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September 1, 2021</w:t>
            </w:r>
          </w:p>
        </w:tc>
        <w:tc>
          <w:tcPr>
            <w:tcW w:type="dxa" w:w="1872"/>
            <w:vAlign w:val="top"/>
          </w:tcPr>
          <w:p>
            <w:pPr>
              <w:spacing w:after="0" w:line="240" w:lineRule="auto"/>
            </w:pPr>
            <w:r>
              <w:rPr>
                <w:sz w:val="14"/>
              </w:rPr>
            </w:r>
            <w:r>
              <w:rPr>
                <w:b w:val="0"/>
                <w:sz w:val="14"/>
              </w:rPr>
              <w:t>4.0</w:t>
            </w:r>
          </w:p>
        </w:tc>
      </w:tr>
      <w:tr>
        <w:trPr>
          <w:cantSplit w:val="true"/>
        </w:trPr>
        <w:tc>
          <w:tcPr>
            <w:tcW w:type="dxa" w:w="4464"/>
            <w:vAlign w:val="top"/>
          </w:tcPr>
          <w:p>
            <w:pPr>
              <w:spacing w:after="0" w:line="240" w:lineRule="auto"/>
            </w:pPr>
            <w:r>
              <w:rPr>
                <w:sz w:val="14"/>
              </w:rPr>
            </w:r>
            <w:r>
              <w:rPr>
                <w:b w:val="0"/>
                <w:sz w:val="14"/>
              </w:rPr>
              <w:t>Fall 2020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January 21, 2021</w:t>
            </w:r>
          </w:p>
        </w:tc>
        <w:tc>
          <w:tcPr>
            <w:tcW w:type="dxa" w:w="1872"/>
            <w:vAlign w:val="top"/>
          </w:tcPr>
          <w:p>
            <w:pPr>
              <w:spacing w:after="0" w:line="240" w:lineRule="auto"/>
            </w:pPr>
            <w:r>
              <w:rPr>
                <w:sz w:val="14"/>
              </w:rPr>
            </w:r>
            <w:r>
              <w:rPr>
                <w:b w:val="0"/>
                <w:sz w:val="14"/>
              </w:rPr>
              <w:t>4.0</w:t>
            </w:r>
          </w:p>
        </w:tc>
      </w:tr>
      <w:tr>
        <w:trPr>
          <w:cantSplit w:val="true"/>
        </w:trPr>
        <w:tc>
          <w:tcPr>
            <w:tcW w:type="dxa" w:w="4464"/>
            <w:vAlign w:val="top"/>
          </w:tcPr>
          <w:p>
            <w:pPr>
              <w:spacing w:after="0" w:line="240" w:lineRule="auto"/>
            </w:pPr>
            <w:r>
              <w:rPr>
                <w:sz w:val="14"/>
              </w:rPr>
            </w:r>
            <w:r>
              <w:rPr>
                <w:b w:val="0"/>
                <w:sz w:val="14"/>
              </w:rPr>
              <w:t>Fall 2019 Annual Mandatory Employee Compliance Training</w:t>
            </w:r>
          </w:p>
        </w:tc>
        <w:tc>
          <w:tcPr>
            <w:tcW w:type="dxa" w:w="2304"/>
            <w:vAlign w:val="top"/>
          </w:tcPr>
          <w:p>
            <w:pPr>
              <w:spacing w:after="0" w:line="240" w:lineRule="auto"/>
            </w:pPr>
            <w:r>
              <w:rPr>
                <w:sz w:val="14"/>
              </w:rPr>
            </w:r>
            <w:r>
              <w:rPr>
                <w:b w:val="0"/>
                <w:sz w:val="14"/>
              </w:rPr>
              <w:t>On-Demand</w:t>
            </w:r>
          </w:p>
        </w:tc>
        <w:tc>
          <w:tcPr>
            <w:tcW w:type="dxa" w:w="2448"/>
            <w:vAlign w:val="top"/>
          </w:tcPr>
          <w:p>
            <w:pPr>
              <w:spacing w:after="0" w:line="240" w:lineRule="auto"/>
            </w:pPr>
            <w:r>
              <w:rPr>
                <w:sz w:val="14"/>
              </w:rPr>
            </w:r>
            <w:r>
              <w:rPr>
                <w:b w:val="0"/>
                <w:sz w:val="14"/>
              </w:rPr>
              <w:t>Completed December 2, 2019</w:t>
            </w:r>
          </w:p>
        </w:tc>
        <w:tc>
          <w:tcPr>
            <w:tcW w:type="dxa" w:w="1872"/>
            <w:vAlign w:val="top"/>
          </w:tcPr>
          <w:p>
            <w:pPr>
              <w:spacing w:after="0" w:line="240" w:lineRule="auto"/>
            </w:pPr>
            <w:r>
              <w:rPr>
                <w:sz w:val="14"/>
              </w:rPr>
            </w:r>
            <w:r>
              <w:rPr>
                <w:b w:val="0"/>
                <w:sz w:val="14"/>
              </w:rPr>
              <w:t>3.0</w:t>
            </w:r>
          </w:p>
        </w:tc>
      </w:tr>
      <w:tr>
        <w:trPr>
          <w:cantSplit w:val="true"/>
        </w:trPr>
        <w:tc>
          <w:tcPr>
            <w:tcW w:type="dxa" w:w="4464"/>
            <w:vAlign w:val="top"/>
          </w:tcPr>
          <w:p>
            <w:pPr>
              <w:spacing w:after="0" w:line="240" w:lineRule="auto"/>
            </w:pPr>
            <w:r>
              <w:rPr>
                <w:sz w:val="14"/>
              </w:rPr>
            </w:r>
            <w:r>
              <w:rPr>
                <w:b w:val="0"/>
                <w:sz w:val="14"/>
              </w:rPr>
              <w:t>Safe Colleges / Civil Rights / Title IX / Sexual Misconduct / Campus SaVE / Discrimination Awareness / Harassment Prevention</w:t>
            </w:r>
          </w:p>
        </w:tc>
        <w:tc>
          <w:tcPr>
            <w:tcW w:type="dxa" w:w="2304"/>
            <w:vAlign w:val="top"/>
          </w:tcPr>
          <w:p>
            <w:pPr>
              <w:spacing w:after="0" w:line="240" w:lineRule="auto"/>
            </w:pPr>
            <w:r>
              <w:rPr>
                <w:sz w:val="14"/>
              </w:rPr>
            </w:r>
            <w:r>
              <w:rPr>
                <w:b w:val="0"/>
                <w:sz w:val="14"/>
              </w:rPr>
              <w:t>Lone Star College / Safe Colleges</w:t>
            </w:r>
          </w:p>
        </w:tc>
        <w:tc>
          <w:tcPr>
            <w:tcW w:type="dxa" w:w="2448"/>
            <w:vAlign w:val="top"/>
          </w:tcPr>
          <w:p>
            <w:pPr>
              <w:spacing w:after="0" w:line="240" w:lineRule="auto"/>
            </w:pPr>
            <w:r>
              <w:rPr>
                <w:sz w:val="14"/>
              </w:rPr>
            </w:r>
            <w:r>
              <w:rPr>
                <w:b w:val="0"/>
                <w:sz w:val="14"/>
              </w:rPr>
              <w:t>Completed 2016-2018</w:t>
            </w:r>
          </w:p>
        </w:tc>
        <w:tc>
          <w:tcPr>
            <w:tcW w:type="dxa" w:w="1872"/>
            <w:vAlign w:val="top"/>
          </w:tcPr>
          <w:p>
            <w:pPr>
              <w:spacing w:after="0" w:line="240" w:lineRule="auto"/>
            </w:pPr>
            <w:r>
              <w:rPr>
                <w:sz w:val="14"/>
              </w:rPr>
            </w:r>
            <w:r>
              <w:rPr>
                <w:b w:val="0"/>
                <w:sz w:val="14"/>
              </w:rPr>
              <w:t>Multiple annual compliance courses; retained as supplemental compliance history.</w:t>
            </w:r>
          </w:p>
        </w:tc>
      </w:tr>
      <w:tr>
        <w:trPr>
          <w:cantSplit w:val="true"/>
        </w:trPr>
        <w:tc>
          <w:tcPr>
            <w:tcW w:type="dxa" w:w="4464"/>
            <w:vAlign w:val="top"/>
          </w:tcPr>
          <w:p>
            <w:pPr>
              <w:spacing w:after="0" w:line="240" w:lineRule="auto"/>
            </w:pPr>
            <w:r>
              <w:rPr>
                <w:sz w:val="14"/>
              </w:rPr>
            </w:r>
            <w:r>
              <w:rPr>
                <w:b w:val="0"/>
                <w:sz w:val="14"/>
              </w:rPr>
              <w:t>Civil Rights Orientation</w:t>
            </w:r>
          </w:p>
        </w:tc>
        <w:tc>
          <w:tcPr>
            <w:tcW w:type="dxa" w:w="2304"/>
            <w:vAlign w:val="top"/>
          </w:tcPr>
          <w:p>
            <w:pPr>
              <w:spacing w:after="0" w:line="240" w:lineRule="auto"/>
            </w:pPr>
            <w:r>
              <w:rPr>
                <w:sz w:val="14"/>
              </w:rPr>
            </w:r>
            <w:r>
              <w:rPr>
                <w:b w:val="0"/>
                <w:sz w:val="14"/>
              </w:rPr>
              <w:t>Online</w:t>
            </w:r>
          </w:p>
        </w:tc>
        <w:tc>
          <w:tcPr>
            <w:tcW w:type="dxa" w:w="2448"/>
            <w:vAlign w:val="top"/>
          </w:tcPr>
          <w:p>
            <w:pPr>
              <w:spacing w:after="0" w:line="240" w:lineRule="auto"/>
            </w:pPr>
            <w:r>
              <w:rPr>
                <w:sz w:val="14"/>
              </w:rPr>
            </w:r>
            <w:r>
              <w:rPr>
                <w:b w:val="0"/>
                <w:sz w:val="14"/>
              </w:rPr>
              <w:t>Completed October 13, 2014</w:t>
            </w:r>
          </w:p>
        </w:tc>
        <w:tc>
          <w:tcPr>
            <w:tcW w:type="dxa" w:w="1872"/>
            <w:vAlign w:val="top"/>
          </w:tcPr>
          <w:p>
            <w:pPr>
              <w:spacing w:after="0" w:line="240" w:lineRule="auto"/>
            </w:pPr>
            <w:r>
              <w:rPr>
                <w:sz w:val="14"/>
              </w:rPr>
            </w:r>
            <w:r>
              <w:rPr>
                <w:b w:val="0"/>
                <w:sz w:val="14"/>
              </w:rPr>
            </w:r>
          </w:p>
        </w:tc>
      </w:tr>
    </w:tbl>
    <w:p>
      <w:pPr>
        <w:pStyle w:val="Heading1"/>
        <w:pBdr>
          <w:bottom w:val="single" w:sz="6" w:space="1" w:color="7F7F7F"/>
        </w:pBdr>
      </w:pPr>
      <w:r>
        <w:t>Prior Information Systems, Reporting &amp; Data Experience</w:t>
      </w:r>
    </w:p>
    <w:p>
      <w:pPr>
        <w:pStyle w:val="Heading3"/>
      </w:pPr>
      <w:r>
        <w:rPr>
          <w:b/>
        </w:rPr>
        <w:t>Systems Analyst</w:t>
      </w:r>
      <w:r>
        <w:rPr>
          <w:i/>
        </w:rPr>
        <w:t xml:space="preserve"> | Systems Source / Transamerica</w:t>
      </w:r>
      <w:r>
        <w:t xml:space="preserve"> | 2014</w:t>
      </w:r>
    </w:p>
    <w:p>
      <w:pPr>
        <w:pStyle w:val="CVBullet"/>
      </w:pPr>
      <w:r>
        <w:rPr>
          <w:b/>
        </w:rPr>
        <w:t xml:space="preserve">• </w:t>
      </w:r>
      <w:r>
        <w:t>Contract systems analyst responsible for coding and testing downstream processes for Term implementation on LifePRO.</w:t>
      </w:r>
    </w:p>
    <w:p>
      <w:pPr>
        <w:pStyle w:val="Heading3"/>
      </w:pPr>
      <w:r>
        <w:rPr>
          <w:b/>
        </w:rPr>
        <w:t>Systems Analyst</w:t>
      </w:r>
      <w:r>
        <w:rPr>
          <w:i/>
        </w:rPr>
        <w:t xml:space="preserve"> | New Era Life Insurance Company</w:t>
      </w:r>
      <w:r>
        <w:t xml:space="preserve"> | Prior career experience</w:t>
      </w:r>
      <w:r>
        <w:t xml:space="preserve"> | Houston, Texas</w:t>
      </w:r>
    </w:p>
    <w:p>
      <w:pPr>
        <w:pStyle w:val="CVBullet"/>
      </w:pPr>
      <w:r>
        <w:rPr>
          <w:b/>
        </w:rPr>
        <w:t xml:space="preserve">• </w:t>
      </w:r>
      <w:r>
        <w:t>Assisted in system upgrades, testing, data analysis, and end-user requirements definition.</w:t>
      </w:r>
    </w:p>
    <w:p>
      <w:pPr>
        <w:pStyle w:val="CVBullet"/>
      </w:pPr>
      <w:r>
        <w:rPr>
          <w:b/>
        </w:rPr>
        <w:t xml:space="preserve">• </w:t>
      </w:r>
      <w:r>
        <w:t>Wrote and edited COBOL and Microsoft Access programs to update a Btrieve/COBOL-based system.</w:t>
      </w:r>
    </w:p>
    <w:p>
      <w:pPr>
        <w:pStyle w:val="CVBullet"/>
      </w:pPr>
      <w:r>
        <w:rPr>
          <w:b/>
        </w:rPr>
        <w:t xml:space="preserve">• </w:t>
      </w:r>
      <w:r>
        <w:t>Extracted data and created reports for end users and audits.</w:t>
      </w:r>
    </w:p>
    <w:p>
      <w:pPr>
        <w:pStyle w:val="CVBullet"/>
      </w:pPr>
      <w:r>
        <w:rPr>
          <w:b/>
        </w:rPr>
        <w:t xml:space="preserve">• </w:t>
      </w:r>
      <w:r>
        <w:t>Provided end-user training and created or edited process documentation, user manuals, and programmer guide documentation.</w:t>
      </w:r>
    </w:p>
    <w:p>
      <w:pPr>
        <w:pStyle w:val="Heading3"/>
      </w:pPr>
      <w:r>
        <w:rPr>
          <w:b/>
        </w:rPr>
        <w:t>Senior Programmer Analyst</w:t>
      </w:r>
      <w:r>
        <w:rPr>
          <w:i/>
        </w:rPr>
        <w:t xml:space="preserve"> | American Capitol Insurance</w:t>
      </w:r>
      <w:r>
        <w:t xml:space="preserve"> | Prior career experience</w:t>
      </w:r>
      <w:r>
        <w:t xml:space="preserve"> | Houston, Texas</w:t>
      </w:r>
    </w:p>
    <w:p>
      <w:pPr>
        <w:pStyle w:val="CVBullet"/>
      </w:pPr>
      <w:r>
        <w:rPr>
          <w:b/>
        </w:rPr>
        <w:t xml:space="preserve">• </w:t>
      </w:r>
      <w:r>
        <w:t>Reported directly to the CIO and supported LifePRO insurance system operations.</w:t>
      </w:r>
    </w:p>
    <w:p>
      <w:pPr>
        <w:pStyle w:val="CVBullet"/>
      </w:pPr>
      <w:r>
        <w:rPr>
          <w:b/>
        </w:rPr>
        <w:t xml:space="preserve">• </w:t>
      </w:r>
      <w:r>
        <w:t>Worked on data conversions from multiple systems, including COBOL source-code changes, end-user reporting and documentation, data checking, source checking, and policyholder information accuracy review.</w:t>
      </w:r>
    </w:p>
    <w:p>
      <w:pPr>
        <w:pStyle w:val="CVBullet"/>
      </w:pPr>
      <w:r>
        <w:rPr>
          <w:b/>
        </w:rPr>
        <w:t xml:space="preserve">• </w:t>
      </w:r>
      <w:r>
        <w:t>Created ad hoc reporting systems using Microsoft Access, SQL, and Micro Focus COBOL.</w:t>
      </w:r>
    </w:p>
    <w:p>
      <w:pPr>
        <w:pStyle w:val="CVBullet"/>
      </w:pPr>
      <w:r>
        <w:rPr>
          <w:b/>
        </w:rPr>
        <w:t xml:space="preserve">• </w:t>
      </w:r>
      <w:r>
        <w:t>Provided and data-checked reports for Texas Department of Insurance audits.</w:t>
      </w:r>
    </w:p>
    <w:p>
      <w:pPr>
        <w:pStyle w:val="CVBullet"/>
      </w:pPr>
      <w:r>
        <w:rPr>
          <w:b/>
        </w:rPr>
        <w:t xml:space="preserve">• </w:t>
      </w:r>
      <w:r>
        <w:t>Created HIPAA, privacy, and tax documents.</w:t>
      </w:r>
    </w:p>
    <w:p>
      <w:pPr>
        <w:pStyle w:val="Heading3"/>
      </w:pPr>
      <w:r>
        <w:rPr>
          <w:b/>
        </w:rPr>
        <w:t>Reporting IT Analyst, Department Applications</w:t>
      </w:r>
      <w:r>
        <w:rPr>
          <w:i/>
        </w:rPr>
        <w:t xml:space="preserve"> | VALIC / American General, Plan Administration Special Projects Unit</w:t>
      </w:r>
      <w:r>
        <w:t xml:space="preserve"> | Prior career experience</w:t>
      </w:r>
      <w:r>
        <w:t xml:space="preserve"> | Houston, Texas</w:t>
      </w:r>
    </w:p>
    <w:p>
      <w:pPr>
        <w:pStyle w:val="CVBullet"/>
      </w:pPr>
      <w:r>
        <w:rPr>
          <w:b/>
        </w:rPr>
        <w:t xml:space="preserve">• </w:t>
      </w:r>
      <w:r>
        <w:t>Supported Plan Administration and actuarial staff through mainframe reporting, statistical and actuarial process codification, and customized reports.</w:t>
      </w:r>
    </w:p>
    <w:p>
      <w:pPr>
        <w:pStyle w:val="CVBullet"/>
      </w:pPr>
      <w:r>
        <w:rPr>
          <w:b/>
        </w:rPr>
        <w:t xml:space="preserve">• </w:t>
      </w:r>
      <w:r>
        <w:t>Managed and created Lotus Notes and Microsoft Access databases; cross-trained programmers in Easytrieve and SQL.</w:t>
      </w:r>
    </w:p>
    <w:p>
      <w:pPr>
        <w:pStyle w:val="CVBullet"/>
      </w:pPr>
      <w:r>
        <w:rPr>
          <w:b/>
        </w:rPr>
        <w:t xml:space="preserve">• </w:t>
      </w:r>
      <w:r>
        <w:t>Worked with C-List applications, DB2 tables, and Crystal Reports to resolve reporting and data problems.</w:t>
      </w:r>
    </w:p>
    <w:p>
      <w:pPr>
        <w:pStyle w:val="CVBullet"/>
      </w:pPr>
      <w:r>
        <w:rPr>
          <w:b/>
        </w:rPr>
        <w:t xml:space="preserve">• </w:t>
      </w:r>
      <w:r>
        <w:t>Reorganized and documented reporting practices; worked on Y2K project; contributed to V21 new pension system team.</w:t>
      </w:r>
    </w:p>
    <w:p>
      <w:pPr>
        <w:pStyle w:val="CVBullet"/>
      </w:pPr>
      <w:r>
        <w:rPr>
          <w:b/>
        </w:rPr>
        <w:t xml:space="preserve">• </w:t>
      </w:r>
      <w:r>
        <w:t>Performed mainframe coding including JCL and COBOL.</w:t>
      </w:r>
    </w:p>
    <w:p>
      <w:pPr>
        <w:pStyle w:val="Heading1"/>
        <w:pBdr>
          <w:bottom w:val="single" w:sz="6" w:space="1" w:color="7F7F7F"/>
        </w:pBdr>
      </w:pPr>
      <w:r>
        <w:t>Volunteer &amp; Service</w:t>
      </w:r>
    </w:p>
    <w:tbl>
      <w:tblPr>
        <w:tblStyle w:val="TableGrid"/>
        <w:tblW w:type="auto" w:w="0"/>
        <w:jc w:val="center"/>
        <w:tblLayout w:type="autofit"/>
        <w:tblLook w:firstColumn="1" w:firstRow="1" w:lastColumn="0" w:lastRow="0" w:noHBand="0" w:noVBand="1" w:val="04A0"/>
      </w:tblPr>
      <w:tblGrid>
        <w:gridCol w:w="3456"/>
        <w:gridCol w:w="3456"/>
        <w:gridCol w:w="3456"/>
      </w:tblGrid>
      <w:tr>
        <w:trPr>
          <w:tblHeader w:val="true"/>
          <w:cantSplit w:val="true"/>
        </w:trPr>
        <w:tc>
          <w:tcPr>
            <w:tcW w:type="dxa" w:w="3312"/>
            <w:shd w:fill="D9EAF7"/>
          </w:tcPr>
          <w:p>
            <w:pPr>
              <w:spacing w:after="0" w:line="240" w:lineRule="auto"/>
            </w:pPr>
            <w:r>
              <w:rPr>
                <w:sz w:val="15"/>
              </w:rPr>
            </w:r>
            <w:r>
              <w:rPr>
                <w:b/>
                <w:sz w:val="15"/>
              </w:rPr>
              <w:t>Organization</w:t>
            </w:r>
          </w:p>
        </w:tc>
        <w:tc>
          <w:tcPr>
            <w:tcW w:type="dxa" w:w="5472"/>
            <w:shd w:fill="D9EAF7"/>
          </w:tcPr>
          <w:p>
            <w:pPr>
              <w:spacing w:after="0" w:line="240" w:lineRule="auto"/>
            </w:pPr>
            <w:r>
              <w:rPr>
                <w:sz w:val="15"/>
              </w:rPr>
            </w:r>
            <w:r>
              <w:rPr>
                <w:b/>
                <w:sz w:val="15"/>
              </w:rPr>
              <w:t>Role / Service</w:t>
            </w:r>
          </w:p>
        </w:tc>
        <w:tc>
          <w:tcPr>
            <w:tcW w:type="dxa" w:w="1872"/>
            <w:shd w:fill="D9EAF7"/>
          </w:tcPr>
          <w:p>
            <w:pPr>
              <w:spacing w:after="0" w:line="240" w:lineRule="auto"/>
            </w:pPr>
            <w:r>
              <w:rPr>
                <w:sz w:val="15"/>
              </w:rPr>
            </w:r>
            <w:r>
              <w:rPr>
                <w:b/>
                <w:sz w:val="15"/>
              </w:rPr>
              <w:t>Dates</w:t>
            </w:r>
          </w:p>
        </w:tc>
      </w:tr>
      <w:tr>
        <w:trPr>
          <w:cantSplit w:val="true"/>
        </w:trPr>
        <w:tc>
          <w:tcPr>
            <w:tcW w:type="dxa" w:w="3312"/>
            <w:vAlign w:val="top"/>
          </w:tcPr>
          <w:p>
            <w:pPr>
              <w:spacing w:after="0" w:line="240" w:lineRule="auto"/>
            </w:pPr>
            <w:r>
              <w:rPr>
                <w:sz w:val="15"/>
              </w:rPr>
            </w:r>
            <w:r>
              <w:rPr>
                <w:b w:val="0"/>
                <w:sz w:val="15"/>
              </w:rPr>
              <w:t>Houston Archaeological Society</w:t>
            </w:r>
          </w:p>
        </w:tc>
        <w:tc>
          <w:tcPr>
            <w:tcW w:type="dxa" w:w="5472"/>
            <w:vAlign w:val="top"/>
          </w:tcPr>
          <w:p>
            <w:pPr>
              <w:spacing w:after="0" w:line="240" w:lineRule="auto"/>
            </w:pPr>
            <w:r>
              <w:rPr>
                <w:sz w:val="15"/>
              </w:rPr>
            </w:r>
            <w:r>
              <w:rPr>
                <w:b w:val="0"/>
                <w:sz w:val="15"/>
              </w:rPr>
              <w:t>Volunteer, Cemetery Committee cleanup</w:t>
            </w:r>
          </w:p>
        </w:tc>
        <w:tc>
          <w:tcPr>
            <w:tcW w:type="dxa" w:w="1872"/>
            <w:vAlign w:val="top"/>
          </w:tcPr>
          <w:p>
            <w:pPr>
              <w:spacing w:after="0" w:line="240" w:lineRule="auto"/>
            </w:pPr>
            <w:r>
              <w:rPr>
                <w:sz w:val="15"/>
              </w:rPr>
            </w:r>
            <w:r>
              <w:rPr>
                <w:b w:val="0"/>
                <w:sz w:val="15"/>
              </w:rPr>
              <w:t>2019 - Present</w:t>
            </w:r>
          </w:p>
        </w:tc>
      </w:tr>
      <w:tr>
        <w:trPr>
          <w:cantSplit w:val="true"/>
        </w:trPr>
        <w:tc>
          <w:tcPr>
            <w:tcW w:type="dxa" w:w="3312"/>
            <w:vAlign w:val="top"/>
          </w:tcPr>
          <w:p>
            <w:pPr>
              <w:spacing w:after="0" w:line="240" w:lineRule="auto"/>
            </w:pPr>
            <w:r>
              <w:rPr>
                <w:sz w:val="15"/>
              </w:rPr>
            </w:r>
            <w:r>
              <w:rPr>
                <w:b w:val="0"/>
                <w:sz w:val="15"/>
              </w:rPr>
              <w:t>Bernardo Plantation Archaeology Project</w:t>
            </w:r>
          </w:p>
        </w:tc>
        <w:tc>
          <w:tcPr>
            <w:tcW w:type="dxa" w:w="5472"/>
            <w:vAlign w:val="top"/>
          </w:tcPr>
          <w:p>
            <w:pPr>
              <w:spacing w:after="0" w:line="240" w:lineRule="auto"/>
            </w:pPr>
            <w:r>
              <w:rPr>
                <w:sz w:val="15"/>
              </w:rPr>
            </w:r>
            <w:r>
              <w:rPr>
                <w:b w:val="0"/>
                <w:sz w:val="15"/>
              </w:rPr>
              <w:t>Skilled volunteer at site</w:t>
            </w:r>
          </w:p>
        </w:tc>
        <w:tc>
          <w:tcPr>
            <w:tcW w:type="dxa" w:w="1872"/>
            <w:vAlign w:val="top"/>
          </w:tcPr>
          <w:p>
            <w:pPr>
              <w:spacing w:after="0" w:line="240" w:lineRule="auto"/>
            </w:pPr>
            <w:r>
              <w:rPr>
                <w:sz w:val="15"/>
              </w:rPr>
            </w:r>
            <w:r>
              <w:rPr>
                <w:b w:val="0"/>
                <w:sz w:val="15"/>
              </w:rPr>
              <w:t>January 2012 - March 2014</w:t>
            </w:r>
          </w:p>
        </w:tc>
      </w:tr>
      <w:tr>
        <w:trPr>
          <w:cantSplit w:val="true"/>
        </w:trPr>
        <w:tc>
          <w:tcPr>
            <w:tcW w:type="dxa" w:w="3312"/>
            <w:vAlign w:val="top"/>
          </w:tcPr>
          <w:p>
            <w:pPr>
              <w:spacing w:after="0" w:line="240" w:lineRule="auto"/>
            </w:pPr>
            <w:r>
              <w:rPr>
                <w:sz w:val="15"/>
              </w:rPr>
            </w:r>
            <w:r>
              <w:rPr>
                <w:b w:val="0"/>
                <w:sz w:val="15"/>
              </w:rPr>
              <w:t>Delta Sigma Pi</w:t>
            </w:r>
          </w:p>
        </w:tc>
        <w:tc>
          <w:tcPr>
            <w:tcW w:type="dxa" w:w="5472"/>
            <w:vAlign w:val="top"/>
          </w:tcPr>
          <w:p>
            <w:pPr>
              <w:spacing w:after="0" w:line="240" w:lineRule="auto"/>
            </w:pPr>
            <w:r>
              <w:rPr>
                <w:sz w:val="15"/>
              </w:rPr>
            </w:r>
            <w:r>
              <w:rPr>
                <w:b w:val="0"/>
                <w:sz w:val="15"/>
              </w:rPr>
              <w:t>Volunteer service including National Community Service Chair, community service committee, and scholarship selection committee</w:t>
            </w:r>
          </w:p>
        </w:tc>
        <w:tc>
          <w:tcPr>
            <w:tcW w:type="dxa" w:w="1872"/>
            <w:vAlign w:val="top"/>
          </w:tcPr>
          <w:p>
            <w:pPr>
              <w:spacing w:after="0" w:line="240" w:lineRule="auto"/>
            </w:pPr>
            <w:r>
              <w:rPr>
                <w:sz w:val="15"/>
              </w:rPr>
            </w:r>
            <w:r>
              <w:rPr>
                <w:b w:val="0"/>
                <w:sz w:val="15"/>
              </w:rPr>
              <w:t>1996 - Present</w:t>
            </w:r>
          </w:p>
        </w:tc>
      </w:tr>
    </w:tbl>
    <w:p>
      <w:pPr>
        <w:pStyle w:val="Heading1"/>
        <w:pBdr>
          <w:bottom w:val="single" w:sz="6" w:space="1" w:color="7F7F7F"/>
        </w:pBdr>
      </w:pPr>
      <w:r>
        <w:t>Skills &amp; Tools</w:t>
      </w:r>
    </w:p>
    <w:p>
      <w:r>
        <w:t>Anthropology; Archaeology; Historical Archaeology; Physical Anthropology; Cultural Anthropology; Introduction to Archaeology; Field Archaeology; Excavation; Field Supervision; Artifact Analysis; Public Archaeology; Heritage Education; Cultural Resource Management (CRM); Archaeological Documentation; Site Documentation; Archival Research; Academic Writing; Report Writing; Online Teaching; Asynchronous Instruction; Canvas LMS; D2L Brightspace; LMS Course Development; Curriculum Development; Instructional Design; Assessment; Student Learning Outcomes; Rubrics; Learner-Centered Design; Volunteer Coordination; Database Documentation; Microsoft Access; SQL; Microsoft SQL Server; Oracle; SPSS; Statistics; Data Analysis; Database Design; Database Administration; COBOL; JCL; Crystal Reports; Microsoft Office.</w:t>
      </w:r>
    </w:p>
    <w:p>
      <w:pPr>
        <w:pStyle w:val="CVSmall"/>
        <w:jc w:val="right"/>
      </w:pPr>
      <w:r>
        <w:rPr>
          <w:i/>
        </w:rPr>
        <w:t>Prepared June 2026</w:t>
      </w:r>
    </w:p>
    <w:sectPr w:rsidR="00FC693F" w:rsidRPr="0006063C" w:rsidSect="00034616">
      <w:headerReference w:type="default" r:id="rId9"/>
      <w:footerReference w:type="default" r:id="rId10"/>
      <w:pgSz w:w="12240" w:h="15840"/>
      <w:pgMar w:top="792" w:right="936" w:bottom="792" w:left="936"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 xml:space="preserve">Derry Webb CV | Page </w:t>
    </w:r>
    <w:r>
      <w:rPr>
        <w:color w:val="646464"/>
        <w:sz w:val="16"/>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Derry Webb, M.A., RPA - Curriculum Vitae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50" w:lineRule="auto"/>
    </w:pPr>
    <w:rPr>
      <w:rFonts w:ascii="Aptos" w:hAnsi="Aptos" w:eastAsia="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ascii="Aptos Display" w:hAnsi="Aptos Display" w:eastAsia="Aptos Display"/>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ptos Display" w:hAnsi="Aptos Display" w:eastAsia="Aptos Display"/>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80" w:after="20"/>
      <w:outlineLvl w:val="2"/>
    </w:pPr>
    <w:rPr>
      <w:rFonts w:asciiTheme="majorHAnsi" w:eastAsiaTheme="majorEastAsia" w:hAnsiTheme="majorHAnsi" w:cstheme="majorBidi" w:ascii="Aptos Display" w:hAnsi="Aptos Display" w:eastAsia="Aptos Display"/>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Small">
    <w:name w:val="CV Small"/>
    <w:pPr>
      <w:spacing w:after="40" w:line="240" w:lineRule="auto"/>
    </w:pPr>
    <w:rPr>
      <w:rFonts w:ascii="Aptos" w:hAnsi="Aptos" w:eastAsia="Aptos"/>
      <w:sz w:val="17"/>
    </w:rPr>
  </w:style>
  <w:style w:type="paragraph" w:customStyle="1" w:styleId="CVBullet">
    <w:name w:val="CV Bullet"/>
    <w:basedOn w:val="Normal"/>
    <w:pPr>
      <w:spacing w:after="30"/>
      <w:ind w:left="259" w:hanging="173"/>
    </w:pPr>
    <w:rPr>
      <w:rFonts w:ascii="Aptos" w:hAnsi="Aptos" w:eastAsia="Apto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